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6"/>
        <w:gridCol w:w="576"/>
        <w:gridCol w:w="1584"/>
        <w:gridCol w:w="48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类别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改造内容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基础类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（19）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供水管网和设施设备改造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维修更新公共区域老旧的供水管网和设施设备，确保设备运行可靠、无渗漏。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供电线路和设施设备改造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维修更新公共区域老旧的供电管网和设施设备，确保供电安全、稳定、可靠。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弱电架空线入地及规范梳理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楼外实现强、弱电分离，去除报废线缆，整治飞线；楼内各类管线入管入盒，规范安装；户外埋地敷设，不能暗敷设的，实施安装桥架等其他安装方式。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燃气管网和设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施设备改造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维修更新公共区域燃气管道，确保安全用气。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供热管网和设施设备改造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维修更新公共区域老旧的供暖管网和设施设备。换热站整洁，设施设备运行正常。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整修小区道路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维修破损的小区道路，做到车行路面、人行甬道具有安全性、连通性、平整度以及舒适度。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雨污分流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对雨污合流管网重新规划设计，建设雨水管网和污水管网。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绿化增建、补建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合适位置增植、补植绿化，达到绿量平衡，整洁美观，以本地绿植为主。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完善公共照明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公共照明设施完好，布设合理。根据需要实施照明节能改造和夜景亮化提升。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拆除违法建设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拆除阻碍消防车通道、妨碍公共安全的小区违法建筑物、构筑物及设施；对楼顶、楼体存在安全隐患、妨碍公共安全的太阳能、空调外挂机、信号塔、户外广告（门头牌匾）等外挂设施进行维修、更换或拆除。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基础类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（19）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完善安防设施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建立监控系统，合理选取监控点。小区主要出入口、 主要路段等应设置监控探头，有条件的小区宜实行无死角监控。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完善消防设施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维修完善主街巷消火栓，更换老旧、过期消防设施、灭火器材，保证完好有效；小区内预留消防车通道，并保持畅通。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配备环卫设施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设置封闭的垃圾收集容器，摆放整齐；有条件的实施垃圾定时地点投放或垃圾分类收集。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完善车行、人行交通系统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完善车行、人行交通系统；有条件的，可以实行人行道和车行道分开，保证交通安全。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完善无障碍、适老化设施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维修更新无障碍、适老化设施；具备条件的，可以同步加装无障碍、适老化设施。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修缮公共楼梯踏步和扶手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采用防滑耐磨的面层材料修复台阶和楼梯踏步；修复楼梯栏杆、栏板及扶手。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维修更新公共部位窗户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更换破损的公共部位窗户。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屋顶防水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及美化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确保屋面不漏不渗、整洁，符合规范要求。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修缮楼体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雨水管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维修落水管、落水弯头、落水斗，落水管固定满足规范要求。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完善类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（10）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建设海绵城市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设施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符合海绵城市要求，实现初期雨水净化。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改或新建便民市场、便利店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有条件的，可以在小区内合适地点建设便民市场、便利店。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配齐党建、社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区、物业用房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合理利用社区空间配置党建、社区、物业用房。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建设停车位 （场）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改善停车管理，做到出行方便；鼓励建设立体停车设施，实行市场化运营。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配备体育健身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设施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维修原有体育器械，达到安全使用要求；休闲健身设施布局满足服务半径要求，分散布置，便捷合理。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补建信报箱、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快递柜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在合理区域更新或设置信报箱、快递柜。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完善类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（10）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建设非机动车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停车棚及充电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设施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在合适位置建设非机动车车棚并安装充电设备，保证车棚结构安全、构件安装牢固，满足防风、防雨、遮阳要求；有条件的，实行市场化运营。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规范宣传、文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化、信息发布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设施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设立统一的信报栏，规范宣传、文化、信息发布设施，及时更新宣传内容。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外墙保温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有条件的，按照节能保温要求进行外墙保温。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抗震加固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按照相关要求进行抗震加固。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提升类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（6）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完善养老设施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有条件的，可以完善养老、适老、助老设施。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完善抚幼设施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有条件的，可以完善抚幼设施。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完善医疗卫生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设施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有条件的，可以完善医疗卫生设施。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完善公共活动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场地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有条件的，可以完善公共活动场地。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建设便民消费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服务中心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有条件的，可以建设便民消费服务中心。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建设智慧住区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结合“互联网+”建设智慧住区。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TVhZWY4NjQ2NjIwNmMzODJhMTNmZDcwOWIwMDIifQ=="/>
  </w:docVars>
  <w:rsids>
    <w:rsidRoot w:val="69293C0D"/>
    <w:rsid w:val="6929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2022-10-21T02:52:00Z</dcterms:created>
  <dc:creator>吃不起土的王紫莹</dc:creator>
  <cp:lastModifiedBy>吃不起土的王紫莹</cp:lastModifiedBy>
  <dcterms:modified xsi:type="dcterms:W3CDTF">2022-10-21T03:23:44Z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C9A2E728F32A46CC82E5F7FF127D94DA</vt:lpwstr>
  </property>
</Properties>
</file>