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0"/>
        </w:rPr>
      </w:pPr>
    </w:p>
    <w:p>
      <w:pPr>
        <w:pStyle w:val="BodyText"/>
        <w:ind w:left="2343"/>
        <w:rPr>
          <w:rFonts w:ascii="Times New Roman"/>
          <w:sz w:val="20"/>
        </w:rPr>
      </w:pPr>
      <w:r>
        <w:rPr>
          <w:rFonts w:ascii="Times New Roman"/>
          <w:sz w:val="20"/>
        </w:rPr>
        <w:drawing>
          <wp:inline distT="0" distB="0" distL="0" distR="0">
            <wp:extent cx="2671167" cy="299237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71167" cy="2992374"/>
                    </a:xfrm>
                    <a:prstGeom prst="rect">
                      <a:avLst/>
                    </a:prstGeom>
                  </pic:spPr>
                </pic:pic>
              </a:graphicData>
            </a:graphic>
          </wp:inline>
        </w:drawing>
      </w:r>
      <w:r>
        <w:rPr>
          <w:rFonts w:ascii="Times New Roman"/>
          <w:sz w:val="20"/>
        </w:rPr>
      </w:r>
    </w:p>
    <w:p>
      <w:pPr>
        <w:pStyle w:val="BodyText"/>
        <w:spacing w:before="7"/>
        <w:rPr>
          <w:rFonts w:ascii="Times New Roman"/>
          <w:sz w:val="28"/>
        </w:rPr>
      </w:pPr>
    </w:p>
    <w:p>
      <w:pPr>
        <w:spacing w:line="1344" w:lineRule="exact" w:before="0"/>
        <w:ind w:left="674" w:right="955" w:firstLine="0"/>
        <w:jc w:val="center"/>
        <w:rPr>
          <w:rFonts w:ascii="方正小标宋简体" w:eastAsia="方正小标宋简体" w:hint="eastAsia"/>
          <w:sz w:val="84"/>
        </w:rPr>
      </w:pPr>
      <w:r>
        <w:rPr>
          <w:rFonts w:ascii="方正小标宋简体" w:eastAsia="方正小标宋简体" w:hint="eastAsia"/>
          <w:sz w:val="84"/>
        </w:rPr>
        <w:t>郯城县人民政府公报</w:t>
      </w:r>
    </w:p>
    <w:p>
      <w:pPr>
        <w:pStyle w:val="BodyText"/>
        <w:rPr>
          <w:rFonts w:ascii="方正小标宋简体"/>
          <w:sz w:val="100"/>
        </w:rPr>
      </w:pPr>
    </w:p>
    <w:p>
      <w:pPr>
        <w:pStyle w:val="BodyText"/>
        <w:spacing w:before="15"/>
        <w:rPr>
          <w:rFonts w:ascii="方正小标宋简体"/>
          <w:sz w:val="131"/>
        </w:rPr>
      </w:pPr>
    </w:p>
    <w:p>
      <w:pPr>
        <w:spacing w:line="244" w:lineRule="auto" w:before="0"/>
        <w:ind w:left="1428" w:right="1706" w:firstLine="0"/>
        <w:jc w:val="center"/>
        <w:rPr>
          <w:rFonts w:ascii="方正小标宋简体" w:eastAsia="方正小标宋简体" w:hint="eastAsia"/>
          <w:sz w:val="52"/>
        </w:rPr>
      </w:pPr>
      <w:r>
        <w:rPr>
          <w:rFonts w:ascii="方正小标宋简体" w:eastAsia="方正小标宋简体" w:hint="eastAsia"/>
          <w:sz w:val="52"/>
        </w:rPr>
        <w:t>郯城县人民政府办公室2017 年第 2 期</w:t>
      </w:r>
    </w:p>
    <w:p>
      <w:pPr>
        <w:spacing w:after="0" w:line="244" w:lineRule="auto"/>
        <w:jc w:val="center"/>
        <w:rPr>
          <w:rFonts w:ascii="方正小标宋简体" w:eastAsia="方正小标宋简体" w:hint="eastAsia"/>
          <w:sz w:val="52"/>
        </w:rPr>
        <w:sectPr>
          <w:type w:val="continuous"/>
          <w:pgSz w:w="11910" w:h="16840"/>
          <w:pgMar w:top="1580" w:bottom="280" w:left="1480" w:right="1200"/>
        </w:sectPr>
      </w:pPr>
    </w:p>
    <w:p>
      <w:pPr>
        <w:pStyle w:val="Heading1"/>
        <w:spacing w:before="15"/>
        <w:ind w:right="534"/>
        <w:rPr>
          <w:rFonts w:ascii="黑体" w:eastAsia="黑体" w:hint="eastAsia"/>
        </w:rPr>
      </w:pPr>
      <w:r>
        <w:rPr>
          <w:rFonts w:ascii="黑体" w:eastAsia="黑体" w:hint="eastAsia"/>
        </w:rPr>
        <w:t>郯城县人民政府公报</w:t>
      </w:r>
    </w:p>
    <w:p>
      <w:pPr>
        <w:pStyle w:val="BodyText"/>
        <w:spacing w:before="8"/>
        <w:rPr>
          <w:rFonts w:ascii="黑体"/>
          <w:sz w:val="17"/>
        </w:rPr>
      </w:pPr>
    </w:p>
    <w:p>
      <w:pPr>
        <w:spacing w:before="70"/>
        <w:ind w:left="641" w:right="0" w:firstLine="0"/>
        <w:jc w:val="left"/>
        <w:rPr>
          <w:rFonts w:ascii="楷体" w:eastAsia="楷体" w:hint="eastAsia"/>
          <w:sz w:val="21"/>
        </w:rPr>
      </w:pPr>
      <w:r>
        <w:rPr>
          <w:rFonts w:ascii="楷体" w:eastAsia="楷体" w:hint="eastAsia"/>
          <w:sz w:val="21"/>
        </w:rPr>
        <w:t>公报介绍：</w:t>
      </w:r>
    </w:p>
    <w:p>
      <w:pPr>
        <w:pStyle w:val="BodyText"/>
        <w:spacing w:before="4"/>
        <w:rPr>
          <w:rFonts w:ascii="楷体"/>
          <w:sz w:val="27"/>
        </w:rPr>
      </w:pPr>
    </w:p>
    <w:p>
      <w:pPr>
        <w:spacing w:line="424" w:lineRule="auto" w:before="0"/>
        <w:ind w:left="221" w:right="395" w:firstLine="420"/>
        <w:jc w:val="left"/>
        <w:rPr>
          <w:sz w:val="21"/>
        </w:rPr>
      </w:pPr>
      <w:r>
        <w:rPr>
          <w:w w:val="95"/>
          <w:sz w:val="21"/>
        </w:rPr>
        <w:t>政府信息公开是人民群众行使知情权、监督权、参与权的基础，是促进政府公正、公平、   </w:t>
      </w:r>
      <w:r>
        <w:rPr>
          <w:sz w:val="21"/>
        </w:rPr>
        <w:t>公开行使权力，提高管理服务水平的重要手段，是从源头预防和治理腐败的有效措施。</w:t>
      </w:r>
    </w:p>
    <w:p>
      <w:pPr>
        <w:spacing w:line="424" w:lineRule="auto" w:before="100"/>
        <w:ind w:left="221" w:right="395" w:firstLine="420"/>
        <w:jc w:val="left"/>
        <w:rPr>
          <w:sz w:val="21"/>
        </w:rPr>
      </w:pPr>
      <w:r>
        <w:rPr>
          <w:sz w:val="21"/>
        </w:rPr>
        <w:t>《郯城县人民政府公报》由县政府主管、主办，县政府办公室负责编辑出版，是县政府 唯一的政府出版物，主要承载县政府主动公开的政府信息，是县政府发布政令、宣传政策、 </w:t>
      </w:r>
      <w:r>
        <w:rPr>
          <w:w w:val="95"/>
          <w:sz w:val="21"/>
        </w:rPr>
        <w:t>指导工作的权威载体，是政府信息公开的主渠道，是广大人民群众阅读文件、掌握政策法规、   </w:t>
      </w:r>
      <w:r>
        <w:rPr>
          <w:sz w:val="21"/>
        </w:rPr>
        <w:t>维护合法权益的重要渠道和手段。</w:t>
      </w:r>
    </w:p>
    <w:p>
      <w:pPr>
        <w:spacing w:before="103"/>
        <w:ind w:left="641" w:right="0" w:firstLine="0"/>
        <w:jc w:val="left"/>
        <w:rPr>
          <w:rFonts w:ascii="楷体" w:eastAsia="楷体" w:hint="eastAsia"/>
          <w:sz w:val="21"/>
        </w:rPr>
      </w:pPr>
      <w:r>
        <w:rPr>
          <w:rFonts w:ascii="楷体" w:eastAsia="楷体" w:hint="eastAsia"/>
          <w:sz w:val="21"/>
        </w:rPr>
        <w:t>背景资料：</w:t>
      </w:r>
    </w:p>
    <w:p>
      <w:pPr>
        <w:pStyle w:val="BodyText"/>
        <w:spacing w:before="4"/>
        <w:rPr>
          <w:rFonts w:ascii="楷体"/>
          <w:sz w:val="27"/>
        </w:rPr>
      </w:pPr>
    </w:p>
    <w:p>
      <w:pPr>
        <w:spacing w:line="424" w:lineRule="auto" w:before="0"/>
        <w:ind w:left="221" w:right="604" w:firstLine="420"/>
        <w:jc w:val="left"/>
        <w:rPr>
          <w:sz w:val="21"/>
        </w:rPr>
      </w:pPr>
      <w:r>
        <w:rPr>
          <w:w w:val="95"/>
          <w:sz w:val="21"/>
        </w:rPr>
        <w:t>政府公报是行政机关编印的专门登载法律、法令、决定、命令、条约、协定或其他官方  </w:t>
      </w:r>
      <w:r>
        <w:rPr>
          <w:sz w:val="21"/>
        </w:rPr>
        <w:t>文件的刊物。</w:t>
      </w:r>
    </w:p>
    <w:p>
      <w:pPr>
        <w:spacing w:line="424" w:lineRule="auto" w:before="100"/>
        <w:ind w:left="221" w:right="604" w:firstLine="420"/>
        <w:jc w:val="left"/>
        <w:rPr>
          <w:sz w:val="21"/>
        </w:rPr>
      </w:pPr>
      <w:r>
        <w:rPr>
          <w:w w:val="95"/>
          <w:sz w:val="21"/>
        </w:rPr>
        <w:t>《中国加入世贸组织议定书》第二条：政府应设立或指定一官方刊物，用于公布有关法  </w:t>
      </w:r>
      <w:r>
        <w:rPr>
          <w:sz w:val="21"/>
        </w:rPr>
        <w:t>律、法规及其他措施，并定期出版该刊物，使个人和企业可容易获得该刊物各期。</w:t>
      </w:r>
    </w:p>
    <w:p>
      <w:pPr>
        <w:spacing w:line="424" w:lineRule="auto" w:before="101"/>
        <w:ind w:left="221" w:right="604" w:firstLine="420"/>
        <w:jc w:val="both"/>
        <w:rPr>
          <w:sz w:val="21"/>
        </w:rPr>
      </w:pPr>
      <w:r>
        <w:rPr>
          <w:w w:val="95"/>
          <w:sz w:val="21"/>
        </w:rPr>
        <w:t>《中华人民共和国立法法》第七十七条：地方政府规章签署公布后，及时在本级人民政   府公报和在本行政区域范围内发行的报纸上刊登。在地方人民政府公报上刊登的规章文本为   </w:t>
      </w:r>
      <w:r>
        <w:rPr>
          <w:sz w:val="21"/>
        </w:rPr>
        <w:t>标准文本。</w:t>
      </w:r>
    </w:p>
    <w:p>
      <w:pPr>
        <w:spacing w:line="424" w:lineRule="auto" w:before="101"/>
        <w:ind w:left="221" w:right="395" w:firstLine="420"/>
        <w:jc w:val="left"/>
        <w:rPr>
          <w:sz w:val="21"/>
        </w:rPr>
      </w:pPr>
      <w:r>
        <w:rPr>
          <w:w w:val="95"/>
          <w:sz w:val="21"/>
        </w:rPr>
        <w:t>《中华人民共和国政府信息公开条例》第十五条：行政机关应当将主动公开的政府信息，   </w:t>
      </w:r>
      <w:r>
        <w:rPr>
          <w:sz w:val="21"/>
        </w:rPr>
        <w:t>通过政府公报、政府网站、新闻发布会以及报刊、广播、电视等便于公众知晓的方式公开。</w:t>
      </w:r>
    </w:p>
    <w:p>
      <w:pPr>
        <w:spacing w:line="424" w:lineRule="auto" w:before="101"/>
        <w:ind w:left="221" w:right="604" w:firstLine="420"/>
        <w:jc w:val="left"/>
        <w:rPr>
          <w:sz w:val="21"/>
        </w:rPr>
      </w:pPr>
      <w:r>
        <w:rPr>
          <w:w w:val="95"/>
          <w:sz w:val="21"/>
        </w:rPr>
        <w:t>《山东省规章和规范性文件备案规定》第四条：规章和规范性文件应当通过政府公报、  </w:t>
      </w:r>
      <w:r>
        <w:rPr>
          <w:sz w:val="21"/>
        </w:rPr>
        <w:t>当地报刊、政府网站等媒体向社会公布。未经公布的，不得实施。</w:t>
      </w:r>
    </w:p>
    <w:p>
      <w:pPr>
        <w:spacing w:line="424" w:lineRule="auto" w:before="100"/>
        <w:ind w:left="221" w:right="604" w:firstLine="420"/>
        <w:jc w:val="both"/>
        <w:rPr>
          <w:sz w:val="21"/>
        </w:rPr>
      </w:pPr>
      <w:r>
        <w:rPr>
          <w:w w:val="95"/>
          <w:sz w:val="21"/>
        </w:rPr>
        <w:t>《山东省行政程序规定》第五十条：制定规范性文件实行统一登记、统一编制登记号、   统一公布制度。未经统一登记、统一编制登记号、统一公布的规范性文件无效，不得作为行   </w:t>
      </w:r>
      <w:r>
        <w:rPr>
          <w:sz w:val="21"/>
        </w:rPr>
        <w:t>政管理的依据。</w:t>
      </w:r>
    </w:p>
    <w:p>
      <w:pPr>
        <w:spacing w:after="0" w:line="424" w:lineRule="auto"/>
        <w:jc w:val="both"/>
        <w:rPr>
          <w:sz w:val="21"/>
        </w:rPr>
        <w:sectPr>
          <w:pgSz w:w="11910" w:h="16840"/>
          <w:pgMar w:top="1560" w:bottom="280" w:left="1480" w:right="1200"/>
        </w:sectPr>
      </w:pPr>
    </w:p>
    <w:p>
      <w:pPr>
        <w:pStyle w:val="BodyText"/>
        <w:spacing w:before="9"/>
        <w:rPr>
          <w:sz w:val="12"/>
        </w:rPr>
      </w:pPr>
    </w:p>
    <w:p>
      <w:pPr>
        <w:pStyle w:val="BodyText"/>
        <w:tabs>
          <w:tab w:pos="4793" w:val="left" w:leader="none"/>
        </w:tabs>
        <w:spacing w:before="54"/>
        <w:ind w:left="3833"/>
        <w:rPr>
          <w:rFonts w:ascii="黑体" w:eastAsia="黑体" w:hint="eastAsia"/>
        </w:rPr>
      </w:pPr>
      <w:r>
        <w:rPr>
          <w:rFonts w:ascii="黑体" w:eastAsia="黑体" w:hint="eastAsia"/>
        </w:rPr>
        <w:t>目</w:t>
        <w:tab/>
        <w:t>录</w:t>
      </w:r>
    </w:p>
    <w:p>
      <w:pPr>
        <w:pStyle w:val="BodyText"/>
        <w:spacing w:before="151"/>
        <w:ind w:left="108"/>
        <w:rPr>
          <w:rFonts w:ascii="黑体" w:eastAsia="黑体" w:hint="eastAsia"/>
        </w:rPr>
      </w:pPr>
      <w:r>
        <w:rPr>
          <w:rFonts w:ascii="黑体" w:eastAsia="黑体" w:hint="eastAsia"/>
        </w:rPr>
        <w:t>郯城县政府文件</w:t>
      </w:r>
    </w:p>
    <w:p>
      <w:pPr>
        <w:pStyle w:val="BodyText"/>
        <w:spacing w:before="6"/>
        <w:rPr>
          <w:rFonts w:ascii="黑体"/>
          <w:sz w:val="8"/>
        </w:rPr>
      </w:pPr>
    </w:p>
    <w:p>
      <w:pPr>
        <w:pStyle w:val="BodyText"/>
        <w:tabs>
          <w:tab w:pos="8730" w:val="right" w:leader="dot"/>
        </w:tabs>
        <w:spacing w:line="300" w:lineRule="auto" w:before="41"/>
        <w:ind w:left="108" w:right="386"/>
        <w:rPr>
          <w:rFonts w:ascii="宋体" w:eastAsia="宋体" w:hint="eastAsia"/>
        </w:rPr>
      </w:pPr>
      <w:r>
        <w:rPr>
          <w:spacing w:val="5"/>
        </w:rPr>
        <w:t>郯城</w:t>
      </w:r>
      <w:r>
        <w:rPr/>
        <w:t>县</w:t>
      </w:r>
      <w:r>
        <w:rPr>
          <w:spacing w:val="5"/>
        </w:rPr>
        <w:t>人民政</w:t>
      </w:r>
      <w:r>
        <w:rPr/>
        <w:t>府</w:t>
      </w:r>
      <w:r>
        <w:rPr>
          <w:spacing w:val="5"/>
        </w:rPr>
        <w:t>关于印发</w:t>
      </w:r>
      <w:r>
        <w:rPr/>
        <w:t>郯</w:t>
      </w:r>
      <w:r>
        <w:rPr>
          <w:spacing w:val="5"/>
        </w:rPr>
        <w:t>城县城</w:t>
      </w:r>
      <w:r>
        <w:rPr/>
        <w:t>市</w:t>
      </w:r>
      <w:r>
        <w:rPr>
          <w:spacing w:val="5"/>
        </w:rPr>
        <w:t>基础设施</w:t>
      </w:r>
      <w:r>
        <w:rPr/>
        <w:t>配</w:t>
      </w:r>
      <w:r>
        <w:rPr>
          <w:spacing w:val="5"/>
        </w:rPr>
        <w:t>套费征</w:t>
      </w:r>
      <w:r>
        <w:rPr/>
        <w:t>收</w:t>
      </w:r>
      <w:r>
        <w:rPr>
          <w:spacing w:val="5"/>
        </w:rPr>
        <w:t>管</w:t>
      </w:r>
      <w:r>
        <w:rPr>
          <w:spacing w:val="-14"/>
        </w:rPr>
        <w:t>理</w:t>
      </w:r>
      <w:r>
        <w:rPr/>
        <w:t>暂行办法（郯政发〔2017〕20</w:t>
      </w:r>
      <w:r>
        <w:rPr>
          <w:spacing w:val="-82"/>
        </w:rPr>
        <w:t> </w:t>
      </w:r>
      <w:r>
        <w:rPr/>
        <w:t>号）</w:t>
        <w:tab/>
      </w:r>
      <w:r>
        <w:rPr>
          <w:rFonts w:ascii="宋体" w:eastAsia="宋体" w:hint="eastAsia"/>
        </w:rPr>
        <w:t>1</w:t>
      </w:r>
    </w:p>
    <w:p>
      <w:pPr>
        <w:pStyle w:val="BodyText"/>
        <w:spacing w:before="2"/>
        <w:ind w:left="108"/>
        <w:rPr>
          <w:rFonts w:ascii="黑体" w:eastAsia="黑体" w:hint="eastAsia"/>
        </w:rPr>
      </w:pPr>
      <w:r>
        <w:rPr>
          <w:rFonts w:ascii="黑体" w:eastAsia="黑体" w:hint="eastAsia"/>
        </w:rPr>
        <w:t>郯城县人民政府办公室文件</w:t>
      </w:r>
    </w:p>
    <w:p>
      <w:pPr>
        <w:pStyle w:val="BodyText"/>
        <w:tabs>
          <w:tab w:pos="8838" w:val="right" w:leader="dot"/>
        </w:tabs>
        <w:spacing w:line="300" w:lineRule="auto" w:before="149"/>
        <w:ind w:left="108" w:right="385"/>
        <w:rPr>
          <w:rFonts w:ascii="宋体" w:eastAsia="宋体" w:hint="eastAsia"/>
        </w:rPr>
      </w:pPr>
      <w:r>
        <w:rPr>
          <w:spacing w:val="5"/>
        </w:rPr>
        <w:t>郯城</w:t>
      </w:r>
      <w:r>
        <w:rPr/>
        <w:t>县</w:t>
      </w:r>
      <w:r>
        <w:rPr>
          <w:spacing w:val="5"/>
        </w:rPr>
        <w:t>人民政</w:t>
      </w:r>
      <w:r>
        <w:rPr/>
        <w:t>府</w:t>
      </w:r>
      <w:r>
        <w:rPr>
          <w:spacing w:val="5"/>
        </w:rPr>
        <w:t>办公室关</w:t>
      </w:r>
      <w:r>
        <w:rPr/>
        <w:t>于</w:t>
      </w:r>
      <w:r>
        <w:rPr>
          <w:spacing w:val="5"/>
        </w:rPr>
        <w:t>印发郯</w:t>
      </w:r>
      <w:r>
        <w:rPr/>
        <w:t>城</w:t>
      </w:r>
      <w:r>
        <w:rPr>
          <w:spacing w:val="5"/>
        </w:rPr>
        <w:t>县具有突</w:t>
      </w:r>
      <w:r>
        <w:rPr/>
        <w:t>出</w:t>
      </w:r>
      <w:r>
        <w:rPr>
          <w:spacing w:val="5"/>
        </w:rPr>
        <w:t>贡献的</w:t>
      </w:r>
      <w:r>
        <w:rPr/>
        <w:t>中</w:t>
      </w:r>
      <w:r>
        <w:rPr>
          <w:spacing w:val="5"/>
        </w:rPr>
        <w:t>青</w:t>
      </w:r>
      <w:r>
        <w:rPr>
          <w:spacing w:val="-13"/>
        </w:rPr>
        <w:t>年</w:t>
      </w:r>
      <w:r>
        <w:rPr/>
        <w:t>专家选拔管理办</w:t>
      </w:r>
      <w:r>
        <w:rPr>
          <w:spacing w:val="-34"/>
        </w:rPr>
        <w:t>法</w:t>
      </w:r>
      <w:r>
        <w:rPr/>
        <w:t>（郯政办</w:t>
      </w:r>
      <w:r>
        <w:rPr>
          <w:spacing w:val="-36"/>
        </w:rPr>
        <w:t>发</w:t>
      </w:r>
      <w:r>
        <w:rPr/>
        <w:t>〔2017</w:t>
      </w:r>
      <w:r>
        <w:rPr>
          <w:spacing w:val="-34"/>
        </w:rPr>
        <w:t>〕</w:t>
      </w:r>
      <w:r>
        <w:rPr/>
        <w:t>23</w:t>
      </w:r>
      <w:r>
        <w:rPr>
          <w:spacing w:val="-3"/>
        </w:rPr>
        <w:t> </w:t>
      </w:r>
      <w:r>
        <w:rPr/>
        <w:t>号</w:t>
      </w:r>
      <w:r>
        <w:rPr>
          <w:spacing w:val="-34"/>
        </w:rPr>
        <w:t>）</w:t>
        <w:tab/>
      </w:r>
      <w:r>
        <w:rPr>
          <w:rFonts w:ascii="宋体" w:eastAsia="宋体" w:hint="eastAsia"/>
        </w:rPr>
        <w:t>10</w:t>
      </w:r>
    </w:p>
    <w:p>
      <w:pPr>
        <w:spacing w:after="0" w:line="300" w:lineRule="auto"/>
        <w:rPr>
          <w:rFonts w:ascii="宋体" w:eastAsia="宋体" w:hint="eastAsia"/>
        </w:rPr>
        <w:sectPr>
          <w:pgSz w:w="11910" w:h="16840"/>
          <w:pgMar w:top="1580" w:bottom="280" w:left="1480" w:right="1200"/>
        </w:sectPr>
      </w:pPr>
    </w:p>
    <w:p>
      <w:pPr>
        <w:pStyle w:val="BodyText"/>
        <w:spacing w:before="264"/>
        <w:ind w:left="108"/>
        <w:rPr>
          <w:rFonts w:ascii="黑体"/>
        </w:rPr>
      </w:pPr>
      <w:r>
        <w:rPr>
          <w:rFonts w:ascii="黑体"/>
        </w:rPr>
        <w:t>TCDR-2017-001001</w:t>
      </w:r>
    </w:p>
    <w:p>
      <w:pPr>
        <w:pStyle w:val="BodyText"/>
        <w:rPr>
          <w:rFonts w:ascii="黑体"/>
          <w:sz w:val="20"/>
        </w:rPr>
      </w:pPr>
    </w:p>
    <w:p>
      <w:pPr>
        <w:pStyle w:val="BodyText"/>
        <w:rPr>
          <w:rFonts w:ascii="黑体"/>
          <w:sz w:val="20"/>
        </w:rPr>
      </w:pPr>
    </w:p>
    <w:p>
      <w:pPr>
        <w:pStyle w:val="BodyText"/>
        <w:spacing w:before="3"/>
        <w:rPr>
          <w:rFonts w:ascii="黑体"/>
          <w:sz w:val="19"/>
        </w:rPr>
      </w:pPr>
      <w:r>
        <w:rPr/>
        <w:pict>
          <v:group style="position:absolute;margin-left:133.272995pt;margin-top:15.031pt;width:144.950pt;height:69.1pt;mso-position-horizontal-relative:page;mso-position-vertical-relative:paragraph;z-index:-251658240;mso-wrap-distance-left:0;mso-wrap-distance-right:0" coordorigin="2665,301" coordsize="2899,1382">
            <v:shape style="position:absolute;left:2665;top:300;width:1424;height:1382" type="#_x0000_t75" stroked="false">
              <v:imagedata r:id="rId7" o:title=""/>
            </v:shape>
            <v:shape style="position:absolute;left:4131;top:325;width:701;height:1316" type="#_x0000_t75" stroked="false">
              <v:imagedata r:id="rId8" o:title=""/>
            </v:shape>
            <v:shape style="position:absolute;left:4872;top:308;width:692;height:1350" type="#_x0000_t75" stroked="false">
              <v:imagedata r:id="rId9" o:title=""/>
            </v:shape>
            <w10:wrap type="topAndBottom"/>
          </v:group>
        </w:pict>
      </w:r>
      <w:r>
        <w:rPr/>
        <w:pict>
          <v:group style="position:absolute;margin-left:283.627991pt;margin-top:14.289pt;width:178.65pt;height:70.350pt;mso-position-horizontal-relative:page;mso-position-vertical-relative:paragraph;z-index:-251657216;mso-wrap-distance-left:0;mso-wrap-distance-right:0" coordorigin="5673,286" coordsize="3573,1407">
            <v:shape style="position:absolute;left:5672;top:336;width:613;height:1318" type="#_x0000_t75" stroked="false">
              <v:imagedata r:id="rId10" o:title=""/>
            </v:shape>
            <v:shape style="position:absolute;left:6332;top:285;width:2912;height:1407" type="#_x0000_t75" stroked="false">
              <v:imagedata r:id="rId11" o:title=""/>
            </v:shape>
            <w10:wrap type="topAndBottom"/>
          </v:group>
        </w:pict>
      </w:r>
    </w:p>
    <w:p>
      <w:pPr>
        <w:pStyle w:val="BodyText"/>
        <w:rPr>
          <w:rFonts w:ascii="黑体"/>
          <w:sz w:val="36"/>
        </w:rPr>
      </w:pPr>
    </w:p>
    <w:p>
      <w:pPr>
        <w:pStyle w:val="BodyText"/>
        <w:spacing w:before="286"/>
        <w:ind w:left="674" w:right="951"/>
        <w:jc w:val="center"/>
      </w:pPr>
      <w:r>
        <w:rPr/>
        <w:t>郯政发〔2017〕20 号</w:t>
      </w:r>
    </w:p>
    <w:p>
      <w:pPr>
        <w:pStyle w:val="BodyText"/>
        <w:spacing w:before="6"/>
        <w:rPr>
          <w:sz w:val="17"/>
        </w:rPr>
      </w:pPr>
      <w:r>
        <w:rPr/>
        <w:pict>
          <v:line style="position:absolute;mso-position-horizontal-relative:page;mso-position-vertical-relative:paragraph;z-index:-251656192;mso-wrap-distance-left:0;mso-wrap-distance-right:0" from="79.400002pt,14.8065pt" to="502.400002pt,14.8065pt" stroked="true" strokeweight="1.25pt" strokecolor="#ff0000">
            <v:stroke dashstyle="solid"/>
            <w10:wrap type="topAndBottom"/>
          </v:line>
        </w:pict>
      </w:r>
    </w:p>
    <w:p>
      <w:pPr>
        <w:pStyle w:val="BodyText"/>
        <w:spacing w:before="9"/>
        <w:rPr>
          <w:sz w:val="30"/>
        </w:rPr>
      </w:pPr>
    </w:p>
    <w:p>
      <w:pPr>
        <w:pStyle w:val="Heading1"/>
        <w:spacing w:line="669" w:lineRule="exact"/>
      </w:pPr>
      <w:r>
        <w:rPr/>
        <w:t>郯城县人民政府</w:t>
      </w:r>
    </w:p>
    <w:p>
      <w:pPr>
        <w:spacing w:line="172" w:lineRule="auto" w:before="37"/>
        <w:ind w:left="953" w:right="1231" w:firstLine="0"/>
        <w:jc w:val="center"/>
        <w:rPr>
          <w:rFonts w:ascii="方正小标宋简体" w:eastAsia="方正小标宋简体" w:hint="eastAsia"/>
          <w:sz w:val="44"/>
        </w:rPr>
      </w:pPr>
      <w:r>
        <w:rPr>
          <w:rFonts w:ascii="方正小标宋简体" w:eastAsia="方正小标宋简体" w:hint="eastAsia"/>
          <w:sz w:val="44"/>
        </w:rPr>
        <w:t>关于印发郯城县城市基础设施配套费征收管理暂行办法的通知</w:t>
      </w:r>
    </w:p>
    <w:p>
      <w:pPr>
        <w:pStyle w:val="BodyText"/>
        <w:spacing w:before="1"/>
        <w:rPr>
          <w:rFonts w:ascii="方正小标宋简体"/>
          <w:sz w:val="39"/>
        </w:rPr>
      </w:pPr>
    </w:p>
    <w:p>
      <w:pPr>
        <w:pStyle w:val="BodyText"/>
        <w:spacing w:line="321" w:lineRule="auto"/>
        <w:ind w:left="108" w:right="386"/>
        <w:jc w:val="both"/>
      </w:pPr>
      <w:r>
        <w:rPr/>
        <w:t>各乡镇人民政府、郯城街道办事处，县政府各部门，科级以上事业单位，省、市直驻郯各单位，郯城经济开发区管委会，马陵山景区管委会，新村银杏产业开发区管委会：</w:t>
      </w:r>
    </w:p>
    <w:p>
      <w:pPr>
        <w:pStyle w:val="BodyText"/>
        <w:spacing w:line="321" w:lineRule="auto" w:before="1"/>
        <w:ind w:left="108" w:right="389" w:firstLine="643"/>
      </w:pPr>
      <w:r>
        <w:rPr/>
        <w:t>现将《郯城县城市基础设施配套费征收管理暂行办法》印发给你们，请认真遵照执行。</w:t>
      </w:r>
    </w:p>
    <w:p>
      <w:pPr>
        <w:pStyle w:val="BodyText"/>
        <w:spacing w:before="13"/>
        <w:rPr>
          <w:sz w:val="42"/>
        </w:rPr>
      </w:pPr>
    </w:p>
    <w:p>
      <w:pPr>
        <w:pStyle w:val="BodyText"/>
        <w:spacing w:line="321" w:lineRule="auto"/>
        <w:ind w:left="6008" w:right="864" w:hanging="51"/>
      </w:pPr>
      <w:r>
        <w:rPr/>
        <w:t>郯城县人民政府2017</w:t>
      </w:r>
      <w:r>
        <w:rPr>
          <w:spacing w:val="-55"/>
        </w:rPr>
        <w:t> 年 </w:t>
      </w:r>
      <w:r>
        <w:rPr/>
        <w:t>10</w:t>
      </w:r>
      <w:r>
        <w:rPr>
          <w:spacing w:val="-55"/>
        </w:rPr>
        <w:t> 月 </w:t>
      </w:r>
      <w:r>
        <w:rPr/>
        <w:t>9</w:t>
      </w:r>
      <w:r>
        <w:rPr>
          <w:spacing w:val="-48"/>
        </w:rPr>
        <w:t> 日</w:t>
      </w:r>
    </w:p>
    <w:p>
      <w:pPr>
        <w:spacing w:after="0" w:line="321" w:lineRule="auto"/>
        <w:sectPr>
          <w:footerReference w:type="default" r:id="rId6"/>
          <w:pgSz w:w="11910" w:h="16840"/>
          <w:pgMar w:footer="1342" w:header="0" w:top="1580" w:bottom="1540" w:left="1480" w:right="120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184" w:lineRule="auto" w:before="259"/>
        <w:ind w:left="953" w:right="1231"/>
      </w:pPr>
      <w:r>
        <w:rPr/>
        <w:t>郯城县城市基础设施配套费征收管理暂行办法</w:t>
      </w:r>
    </w:p>
    <w:p>
      <w:pPr>
        <w:pStyle w:val="BodyText"/>
        <w:spacing w:before="15"/>
        <w:rPr>
          <w:rFonts w:ascii="方正小标宋简体"/>
          <w:sz w:val="38"/>
        </w:rPr>
      </w:pPr>
    </w:p>
    <w:p>
      <w:pPr>
        <w:pStyle w:val="BodyText"/>
        <w:tabs>
          <w:tab w:pos="1279" w:val="left" w:leader="none"/>
          <w:tab w:pos="1919" w:val="left" w:leader="none"/>
        </w:tabs>
        <w:ind w:right="277"/>
        <w:jc w:val="center"/>
        <w:rPr>
          <w:rFonts w:ascii="黑体" w:eastAsia="黑体" w:hint="eastAsia"/>
        </w:rPr>
      </w:pPr>
      <w:r>
        <w:rPr>
          <w:rFonts w:ascii="黑体" w:eastAsia="黑体" w:hint="eastAsia"/>
        </w:rPr>
        <w:t>第一章</w:t>
        <w:tab/>
        <w:t>总</w:t>
        <w:tab/>
        <w:t>则</w:t>
      </w:r>
    </w:p>
    <w:p>
      <w:pPr>
        <w:pStyle w:val="BodyText"/>
        <w:rPr>
          <w:rFonts w:ascii="黑体"/>
        </w:rPr>
      </w:pPr>
    </w:p>
    <w:p>
      <w:pPr>
        <w:pStyle w:val="BodyText"/>
        <w:spacing w:before="8"/>
        <w:rPr>
          <w:rFonts w:ascii="黑体"/>
          <w:sz w:val="29"/>
        </w:rPr>
      </w:pPr>
    </w:p>
    <w:p>
      <w:pPr>
        <w:pStyle w:val="BodyText"/>
        <w:spacing w:line="321" w:lineRule="auto" w:before="1"/>
        <w:ind w:left="108" w:right="379" w:firstLine="643"/>
        <w:jc w:val="both"/>
      </w:pPr>
      <w:r>
        <w:rPr>
          <w:rFonts w:ascii="楷体_GB2312" w:eastAsia="楷体_GB2312" w:hint="eastAsia"/>
          <w:spacing w:val="40"/>
        </w:rPr>
        <w:t>第一条 </w:t>
      </w:r>
      <w:r>
        <w:rPr/>
        <w:t>为进一步规范和加强城市基础设施配套费的征收</w:t>
      </w:r>
      <w:r>
        <w:rPr>
          <w:w w:val="95"/>
        </w:rPr>
        <w:t>管理，加快城市基础设施建设步伐，根据《临沂市城市基础设 </w:t>
      </w:r>
      <w:r>
        <w:rPr/>
        <w:t>施配套费征收管理办法</w:t>
      </w:r>
      <w:r>
        <w:rPr>
          <w:spacing w:val="-180"/>
        </w:rPr>
        <w:t>》</w:t>
      </w:r>
      <w:r>
        <w:rPr/>
        <w:t>（</w:t>
      </w:r>
      <w:r>
        <w:rPr>
          <w:spacing w:val="-6"/>
        </w:rPr>
        <w:t>临政发〔</w:t>
      </w:r>
      <w:r>
        <w:rPr/>
        <w:t>2008</w:t>
      </w:r>
      <w:r>
        <w:rPr>
          <w:spacing w:val="-19"/>
        </w:rPr>
        <w:t>〕</w:t>
      </w:r>
      <w:r>
        <w:rPr/>
        <w:t>32</w:t>
      </w:r>
      <w:r>
        <w:rPr>
          <w:spacing w:val="-45"/>
        </w:rPr>
        <w:t> 号</w:t>
      </w:r>
      <w:r>
        <w:rPr>
          <w:spacing w:val="-159"/>
        </w:rPr>
        <w:t>）</w:t>
      </w:r>
      <w:r>
        <w:rPr>
          <w:spacing w:val="-26"/>
        </w:rPr>
        <w:t>、《关于调整城</w:t>
      </w:r>
      <w:r>
        <w:rPr>
          <w:spacing w:val="13"/>
          <w:w w:val="95"/>
        </w:rPr>
        <w:t>市基础设施配套费征收标准等有关问题的通知》</w:t>
      </w:r>
      <w:r>
        <w:rPr>
          <w:spacing w:val="24"/>
          <w:w w:val="95"/>
        </w:rPr>
        <w:t>（</w:t>
      </w:r>
      <w:r>
        <w:rPr>
          <w:spacing w:val="16"/>
          <w:w w:val="95"/>
        </w:rPr>
        <w:t>临政办发</w:t>
      </w:r>
    </w:p>
    <w:p>
      <w:pPr>
        <w:pStyle w:val="BodyText"/>
        <w:spacing w:line="446" w:lineRule="exact"/>
        <w:ind w:left="108"/>
        <w:jc w:val="both"/>
      </w:pPr>
      <w:r>
        <w:rPr/>
        <w:t>〔2010〕26 号）有关法律、法规和规章，制定本办法。</w:t>
      </w:r>
    </w:p>
    <w:p>
      <w:pPr>
        <w:pStyle w:val="BodyText"/>
        <w:tabs>
          <w:tab w:pos="2047" w:val="left" w:leader="none"/>
        </w:tabs>
        <w:spacing w:line="321" w:lineRule="auto" w:before="154"/>
        <w:ind w:left="108" w:right="225" w:firstLine="643"/>
      </w:pPr>
      <w:r>
        <w:rPr>
          <w:rFonts w:ascii="楷体_GB2312" w:eastAsia="楷体_GB2312" w:hint="eastAsia"/>
          <w:spacing w:val="5"/>
        </w:rPr>
        <w:t>第</w:t>
      </w:r>
      <w:r>
        <w:rPr>
          <w:rFonts w:ascii="楷体_GB2312" w:eastAsia="楷体_GB2312" w:hint="eastAsia"/>
        </w:rPr>
        <w:t>二条</w:t>
        <w:tab/>
      </w:r>
      <w:r>
        <w:rPr>
          <w:spacing w:val="5"/>
        </w:rPr>
        <w:t>城</w:t>
      </w:r>
      <w:r>
        <w:rPr/>
        <w:t>市</w:t>
      </w:r>
      <w:r>
        <w:rPr>
          <w:spacing w:val="5"/>
        </w:rPr>
        <w:t>基础设</w:t>
      </w:r>
      <w:r>
        <w:rPr/>
        <w:t>施</w:t>
      </w:r>
      <w:r>
        <w:rPr>
          <w:spacing w:val="5"/>
        </w:rPr>
        <w:t>配套费</w:t>
      </w:r>
      <w:r>
        <w:rPr/>
        <w:t>，</w:t>
      </w:r>
      <w:r>
        <w:rPr>
          <w:spacing w:val="5"/>
        </w:rPr>
        <w:t>是政府</w:t>
      </w:r>
      <w:r>
        <w:rPr/>
        <w:t>对</w:t>
      </w:r>
      <w:r>
        <w:rPr>
          <w:spacing w:val="5"/>
        </w:rPr>
        <w:t>城市规</w:t>
      </w:r>
      <w:r>
        <w:rPr/>
        <w:t>划</w:t>
      </w:r>
      <w:r>
        <w:rPr>
          <w:spacing w:val="5"/>
        </w:rPr>
        <w:t>区和</w:t>
      </w:r>
      <w:r>
        <w:rPr/>
        <w:t>小</w:t>
      </w:r>
      <w:r>
        <w:rPr>
          <w:spacing w:val="5"/>
        </w:rPr>
        <w:t>城镇</w:t>
      </w:r>
      <w:r>
        <w:rPr/>
        <w:t>规</w:t>
      </w:r>
      <w:r>
        <w:rPr>
          <w:spacing w:val="5"/>
        </w:rPr>
        <w:t>划区进</w:t>
      </w:r>
      <w:r>
        <w:rPr/>
        <w:t>行</w:t>
      </w:r>
      <w:r>
        <w:rPr>
          <w:spacing w:val="5"/>
        </w:rPr>
        <w:t>基础设施</w:t>
      </w:r>
      <w:r>
        <w:rPr/>
        <w:t>配</w:t>
      </w:r>
      <w:r>
        <w:rPr>
          <w:spacing w:val="5"/>
        </w:rPr>
        <w:t>套建设</w:t>
      </w:r>
      <w:r>
        <w:rPr/>
        <w:t>的</w:t>
      </w:r>
      <w:r>
        <w:rPr>
          <w:spacing w:val="5"/>
        </w:rPr>
        <w:t>财政性资</w:t>
      </w:r>
      <w:r>
        <w:rPr/>
        <w:t>金</w:t>
      </w:r>
      <w:r>
        <w:rPr>
          <w:spacing w:val="5"/>
        </w:rPr>
        <w:t>，主要</w:t>
      </w:r>
      <w:r>
        <w:rPr/>
        <w:t>用</w:t>
      </w:r>
      <w:r>
        <w:rPr>
          <w:spacing w:val="5"/>
        </w:rPr>
        <w:t>于</w:t>
      </w:r>
      <w:r>
        <w:rPr/>
        <w:t>建</w:t>
      </w:r>
      <w:r>
        <w:rPr>
          <w:spacing w:val="5"/>
        </w:rPr>
        <w:t>设项</w:t>
      </w:r>
      <w:r>
        <w:rPr/>
        <w:t>目</w:t>
      </w:r>
      <w:r>
        <w:rPr>
          <w:spacing w:val="5"/>
        </w:rPr>
        <w:t>规划红</w:t>
      </w:r>
      <w:r>
        <w:rPr/>
        <w:t>线</w:t>
      </w:r>
      <w:r>
        <w:rPr>
          <w:spacing w:val="5"/>
        </w:rPr>
        <w:t>外公共配</w:t>
      </w:r>
      <w:r>
        <w:rPr/>
        <w:t>套</w:t>
      </w:r>
      <w:r>
        <w:rPr>
          <w:spacing w:val="5"/>
        </w:rPr>
        <w:t>设施建</w:t>
      </w:r>
      <w:r>
        <w:rPr/>
        <w:t>设</w:t>
      </w:r>
      <w:r>
        <w:rPr>
          <w:spacing w:val="5"/>
        </w:rPr>
        <w:t>和城市规</w:t>
      </w:r>
      <w:r>
        <w:rPr/>
        <w:t>划</w:t>
      </w:r>
      <w:r>
        <w:rPr>
          <w:spacing w:val="5"/>
        </w:rPr>
        <w:t>、测绘</w:t>
      </w:r>
      <w:r>
        <w:rPr/>
        <w:t>等</w:t>
      </w:r>
      <w:r>
        <w:rPr>
          <w:spacing w:val="5"/>
        </w:rPr>
        <w:t>，</w:t>
      </w:r>
      <w:r>
        <w:rPr/>
        <w:t>包</w:t>
      </w:r>
      <w:r>
        <w:rPr>
          <w:spacing w:val="5"/>
        </w:rPr>
        <w:t>括城</w:t>
      </w:r>
      <w:r>
        <w:rPr/>
        <w:t>市</w:t>
      </w:r>
      <w:r>
        <w:rPr>
          <w:spacing w:val="5"/>
        </w:rPr>
        <w:t>建设配</w:t>
      </w:r>
      <w:r>
        <w:rPr/>
        <w:t>套</w:t>
      </w:r>
      <w:r>
        <w:rPr>
          <w:spacing w:val="5"/>
        </w:rPr>
        <w:t>费（道路</w:t>
      </w:r>
      <w:r>
        <w:rPr/>
        <w:t>、</w:t>
      </w:r>
      <w:r>
        <w:rPr>
          <w:spacing w:val="5"/>
        </w:rPr>
        <w:t>桥梁、</w:t>
      </w:r>
      <w:r>
        <w:rPr/>
        <w:t>绿</w:t>
      </w:r>
      <w:r>
        <w:rPr>
          <w:spacing w:val="5"/>
        </w:rPr>
        <w:t>化、环卫</w:t>
      </w:r>
      <w:r>
        <w:rPr/>
        <w:t>、</w:t>
      </w:r>
      <w:r>
        <w:rPr>
          <w:spacing w:val="5"/>
        </w:rPr>
        <w:t>中小学</w:t>
      </w:r>
      <w:r>
        <w:rPr/>
        <w:t>、</w:t>
      </w:r>
      <w:r>
        <w:rPr>
          <w:spacing w:val="5"/>
        </w:rPr>
        <w:t>社</w:t>
      </w:r>
      <w:r>
        <w:rPr/>
        <w:t>区办公等基础设施建设</w:t>
      </w:r>
      <w:r>
        <w:rPr>
          <w:spacing w:val="-161"/>
        </w:rPr>
        <w:t>）</w:t>
      </w:r>
      <w:r>
        <w:rPr>
          <w:spacing w:val="-75"/>
        </w:rPr>
        <w:t>、</w:t>
      </w:r>
      <w:r>
        <w:rPr/>
        <w:t>管网建设配套</w:t>
      </w:r>
      <w:r>
        <w:rPr>
          <w:spacing w:val="-77"/>
        </w:rPr>
        <w:t>费</w:t>
      </w:r>
      <w:r>
        <w:rPr/>
        <w:t>（供气管网</w:t>
      </w:r>
      <w:r>
        <w:rPr>
          <w:spacing w:val="-77"/>
        </w:rPr>
        <w:t>、</w:t>
      </w:r>
      <w:r>
        <w:rPr/>
        <w:t>排水管网、供水管网的建设</w:t>
      </w:r>
      <w:r>
        <w:rPr>
          <w:spacing w:val="-159"/>
        </w:rPr>
        <w:t>）</w:t>
      </w:r>
      <w:r>
        <w:rPr/>
        <w:t>、城区义务教育建设配套费。</w:t>
      </w:r>
    </w:p>
    <w:p>
      <w:pPr>
        <w:pStyle w:val="BodyText"/>
        <w:spacing w:line="321" w:lineRule="auto" w:before="3"/>
        <w:ind w:left="108" w:right="386" w:firstLine="643"/>
        <w:jc w:val="both"/>
      </w:pPr>
      <w:r>
        <w:rPr>
          <w:rFonts w:ascii="楷体_GB2312" w:eastAsia="楷体_GB2312" w:hint="eastAsia"/>
        </w:rPr>
        <w:t>第三条 </w:t>
      </w:r>
      <w:r>
        <w:rPr/>
        <w:t>凡在城市规划区和小城镇规划区内新建、扩建和改建建设项目的单位和个人，均应按照本办法规定缴纳城市基础设施配套费。</w:t>
      </w:r>
    </w:p>
    <w:p>
      <w:pPr>
        <w:pStyle w:val="BodyText"/>
        <w:spacing w:before="1"/>
        <w:ind w:left="751"/>
        <w:jc w:val="both"/>
      </w:pPr>
      <w:r>
        <w:rPr>
          <w:rFonts w:ascii="楷体_GB2312" w:eastAsia="楷体_GB2312" w:hint="eastAsia"/>
        </w:rPr>
        <w:t>第四条 </w:t>
      </w:r>
      <w:r>
        <w:rPr/>
        <w:t>按照财政部《关于加强政府非税收入管理的通知》</w:t>
      </w:r>
    </w:p>
    <w:p>
      <w:pPr>
        <w:spacing w:after="0"/>
        <w:jc w:val="both"/>
        <w:sectPr>
          <w:pgSz w:w="11910" w:h="16840"/>
          <w:pgMar w:header="0" w:footer="1342" w:top="1580" w:bottom="1540" w:left="1480" w:right="1200"/>
        </w:sectPr>
      </w:pPr>
    </w:p>
    <w:p>
      <w:pPr>
        <w:pStyle w:val="BodyText"/>
        <w:spacing w:before="11"/>
        <w:rPr>
          <w:sz w:val="15"/>
        </w:rPr>
      </w:pPr>
    </w:p>
    <w:p>
      <w:pPr>
        <w:pStyle w:val="BodyText"/>
        <w:spacing w:line="321" w:lineRule="auto" w:before="41"/>
        <w:ind w:left="108" w:right="228"/>
        <w:jc w:val="both"/>
      </w:pPr>
      <w:r>
        <w:rPr/>
        <w:t>规定，各级财政部门是政府非税收入征收主管机关，政府非税收入可以由财政部门直接征收，也可以由财政部门委托的部门和单位征收。城市规划区范围内的城市基础设施配套费由财政部门直接收取，小城镇规划区范围内的城市基础设施配套费由</w:t>
      </w:r>
      <w:r>
        <w:rPr>
          <w:w w:val="95"/>
        </w:rPr>
        <w:t>规划部门直接收取，费用实行“收支两条线”管理，专款专用。</w:t>
      </w:r>
    </w:p>
    <w:p>
      <w:pPr>
        <w:pStyle w:val="BodyText"/>
        <w:spacing w:before="3"/>
        <w:rPr>
          <w:sz w:val="43"/>
        </w:rPr>
      </w:pPr>
    </w:p>
    <w:p>
      <w:pPr>
        <w:pStyle w:val="BodyText"/>
        <w:tabs>
          <w:tab w:pos="1279" w:val="left" w:leader="none"/>
        </w:tabs>
        <w:ind w:right="277"/>
        <w:jc w:val="center"/>
        <w:rPr>
          <w:rFonts w:ascii="黑体" w:eastAsia="黑体" w:hint="eastAsia"/>
        </w:rPr>
      </w:pPr>
      <w:r>
        <w:rPr>
          <w:rFonts w:ascii="黑体" w:eastAsia="黑体" w:hint="eastAsia"/>
        </w:rPr>
        <w:t>第二章</w:t>
        <w:tab/>
        <w:t>征收标准及征收办法</w:t>
      </w:r>
    </w:p>
    <w:p>
      <w:pPr>
        <w:pStyle w:val="BodyText"/>
        <w:rPr>
          <w:rFonts w:ascii="黑体"/>
        </w:rPr>
      </w:pPr>
    </w:p>
    <w:p>
      <w:pPr>
        <w:pStyle w:val="BodyText"/>
        <w:spacing w:before="8"/>
        <w:rPr>
          <w:rFonts w:ascii="黑体"/>
          <w:sz w:val="29"/>
        </w:rPr>
      </w:pPr>
    </w:p>
    <w:p>
      <w:pPr>
        <w:pStyle w:val="BodyText"/>
        <w:ind w:left="751"/>
        <w:jc w:val="both"/>
      </w:pPr>
      <w:r>
        <w:rPr>
          <w:rFonts w:ascii="楷体_GB2312" w:eastAsia="楷体_GB2312" w:hint="eastAsia"/>
        </w:rPr>
        <w:t>第五条 </w:t>
      </w:r>
      <w:r>
        <w:rPr/>
        <w:t>城市基础设施配套费按照以下标准征收：</w:t>
      </w:r>
    </w:p>
    <w:p>
      <w:pPr>
        <w:pStyle w:val="BodyText"/>
        <w:spacing w:line="321" w:lineRule="auto" w:before="150"/>
        <w:ind w:left="108" w:right="384" w:firstLine="643"/>
        <w:jc w:val="both"/>
      </w:pPr>
      <w:r>
        <w:rPr>
          <w:spacing w:val="5"/>
          <w:w w:val="95"/>
        </w:rPr>
        <w:t>（一</w:t>
      </w:r>
      <w:r>
        <w:rPr>
          <w:w w:val="95"/>
        </w:rPr>
        <w:t>）</w:t>
      </w:r>
      <w:r>
        <w:rPr>
          <w:spacing w:val="2"/>
          <w:w w:val="95"/>
        </w:rPr>
        <w:t>在城市规划区内新建、扩建或改建住宅楼</w:t>
      </w:r>
      <w:r>
        <w:rPr>
          <w:spacing w:val="5"/>
          <w:w w:val="95"/>
        </w:rPr>
        <w:t>（</w:t>
      </w:r>
      <w:r>
        <w:rPr>
          <w:spacing w:val="1"/>
          <w:w w:val="95"/>
        </w:rPr>
        <w:t>含集体 宿舍</w:t>
      </w:r>
      <w:r>
        <w:rPr>
          <w:spacing w:val="-159"/>
          <w:w w:val="95"/>
        </w:rPr>
        <w:t>）</w:t>
      </w:r>
      <w:r>
        <w:rPr>
          <w:spacing w:val="-9"/>
          <w:w w:val="95"/>
        </w:rPr>
        <w:t>、办公楼</w:t>
      </w:r>
      <w:r>
        <w:rPr>
          <w:w w:val="95"/>
        </w:rPr>
        <w:t>（含综合楼</w:t>
      </w:r>
      <w:r>
        <w:rPr>
          <w:spacing w:val="-15"/>
          <w:w w:val="95"/>
        </w:rPr>
        <w:t>）</w:t>
      </w:r>
      <w:r>
        <w:rPr>
          <w:spacing w:val="-2"/>
          <w:w w:val="95"/>
        </w:rPr>
        <w:t>以及商业经营用房的，现行城市基 </w:t>
      </w:r>
      <w:r>
        <w:rPr>
          <w:spacing w:val="-1"/>
        </w:rPr>
        <w:t>础设施配套费征收标准按建筑面积每平方米征收 </w:t>
      </w:r>
      <w:r>
        <w:rPr/>
        <w:t>130</w:t>
      </w:r>
      <w:r>
        <w:rPr>
          <w:spacing w:val="-14"/>
        </w:rPr>
        <w:t> 元，主要</w:t>
      </w:r>
      <w:r>
        <w:rPr>
          <w:spacing w:val="-1"/>
        </w:rPr>
        <w:t>用于建设项目规划红线外公共配套设施建设。其中：用于城市</w:t>
      </w:r>
      <w:r>
        <w:rPr>
          <w:spacing w:val="-13"/>
        </w:rPr>
        <w:t>建设配套部分 </w:t>
      </w:r>
      <w:r>
        <w:rPr/>
        <w:t>90</w:t>
      </w:r>
      <w:r>
        <w:rPr>
          <w:spacing w:val="-20"/>
        </w:rPr>
        <w:t> 元，排水管网建设配套部分 </w:t>
      </w:r>
      <w:r>
        <w:rPr/>
        <w:t>10</w:t>
      </w:r>
      <w:r>
        <w:rPr>
          <w:spacing w:val="-21"/>
        </w:rPr>
        <w:t> 元，供水管网建</w:t>
      </w:r>
    </w:p>
    <w:p>
      <w:pPr>
        <w:pStyle w:val="BodyText"/>
        <w:spacing w:before="2"/>
        <w:ind w:left="108"/>
        <w:jc w:val="both"/>
      </w:pPr>
      <w:r>
        <w:rPr>
          <w:spacing w:val="-15"/>
        </w:rPr>
        <w:t>设配套部分 </w:t>
      </w:r>
      <w:r>
        <w:rPr/>
        <w:t>10</w:t>
      </w:r>
      <w:r>
        <w:rPr>
          <w:spacing w:val="-20"/>
        </w:rPr>
        <w:t> 元，供气管网建设配套部分 </w:t>
      </w:r>
      <w:r>
        <w:rPr/>
        <w:t>10</w:t>
      </w:r>
      <w:r>
        <w:rPr>
          <w:spacing w:val="-19"/>
        </w:rPr>
        <w:t> 元，城区义务教育</w:t>
      </w:r>
    </w:p>
    <w:p>
      <w:pPr>
        <w:pStyle w:val="BodyText"/>
        <w:spacing w:line="321" w:lineRule="auto" w:before="153"/>
        <w:ind w:left="108" w:right="386"/>
        <w:jc w:val="both"/>
      </w:pPr>
      <w:r>
        <w:rPr>
          <w:spacing w:val="-15"/>
        </w:rPr>
        <w:t>建设配套费 </w:t>
      </w:r>
      <w:r>
        <w:rPr/>
        <w:t>10</w:t>
      </w:r>
      <w:r>
        <w:rPr>
          <w:spacing w:val="-12"/>
        </w:rPr>
        <w:t> 元。以后征收标准根据实际需要调整时按程序另行公布。</w:t>
      </w:r>
    </w:p>
    <w:p>
      <w:pPr>
        <w:pStyle w:val="BodyText"/>
        <w:spacing w:line="321" w:lineRule="auto"/>
        <w:ind w:left="108" w:right="312" w:firstLine="643"/>
        <w:jc w:val="both"/>
      </w:pPr>
      <w:r>
        <w:rPr/>
        <w:t>小城镇规划区内新建、扩建改建的住宅楼（含集体宿舍</w:t>
      </w:r>
      <w:r>
        <w:rPr>
          <w:spacing w:val="-159"/>
        </w:rPr>
        <w:t>）</w:t>
      </w:r>
      <w:r>
        <w:rPr/>
        <w:t>、</w:t>
      </w:r>
      <w:r>
        <w:rPr>
          <w:spacing w:val="3"/>
        </w:rPr>
        <w:t>办公楼</w:t>
      </w:r>
      <w:r>
        <w:rPr>
          <w:spacing w:val="5"/>
        </w:rPr>
        <w:t>（</w:t>
      </w:r>
      <w:r>
        <w:rPr>
          <w:spacing w:val="3"/>
        </w:rPr>
        <w:t>含综合楼</w:t>
      </w:r>
      <w:r>
        <w:rPr>
          <w:spacing w:val="5"/>
        </w:rPr>
        <w:t>）</w:t>
      </w:r>
      <w:r>
        <w:rPr/>
        <w:t>以及商业经营用房的，现行城市基础设施配套费征收标准两层以上的（含两层）</w:t>
      </w:r>
      <w:r>
        <w:rPr>
          <w:spacing w:val="-9"/>
        </w:rPr>
        <w:t>按建筑面积每平方米 </w:t>
      </w:r>
      <w:r>
        <w:rPr/>
        <w:t>30 </w:t>
      </w:r>
      <w:r>
        <w:rPr>
          <w:spacing w:val="-5"/>
          <w:w w:val="99"/>
        </w:rPr>
        <w:t>元征收</w:t>
      </w:r>
      <w:r>
        <w:rPr>
          <w:spacing w:val="-3"/>
          <w:w w:val="99"/>
        </w:rPr>
        <w:t>（</w:t>
      </w:r>
      <w:r>
        <w:rPr>
          <w:spacing w:val="-4"/>
          <w:w w:val="99"/>
        </w:rPr>
        <w:t>不含用于供水、供气管网建设配套部分，下同</w:t>
      </w:r>
      <w:r>
        <w:rPr>
          <w:spacing w:val="-159"/>
          <w:w w:val="99"/>
        </w:rPr>
        <w:t>）</w:t>
      </w:r>
      <w:r>
        <w:rPr>
          <w:spacing w:val="-6"/>
          <w:w w:val="99"/>
        </w:rPr>
        <w:t>，两层</w:t>
      </w:r>
      <w:r>
        <w:rPr>
          <w:spacing w:val="-13"/>
        </w:rPr>
        <w:t>以下的按建筑面积每平方米 </w:t>
      </w:r>
      <w:r>
        <w:rPr/>
        <w:t>40</w:t>
      </w:r>
      <w:r>
        <w:rPr>
          <w:spacing w:val="-13"/>
        </w:rPr>
        <w:t> 元征收。以后征收标准根据实际</w:t>
      </w:r>
    </w:p>
    <w:p>
      <w:pPr>
        <w:spacing w:after="0" w:line="321" w:lineRule="auto"/>
        <w:jc w:val="both"/>
        <w:sectPr>
          <w:pgSz w:w="11910" w:h="16840"/>
          <w:pgMar w:header="0" w:footer="1342" w:top="1580" w:bottom="1540" w:left="1480" w:right="1200"/>
        </w:sectPr>
      </w:pPr>
    </w:p>
    <w:p>
      <w:pPr>
        <w:pStyle w:val="BodyText"/>
        <w:spacing w:before="11"/>
        <w:rPr>
          <w:sz w:val="15"/>
        </w:rPr>
      </w:pPr>
    </w:p>
    <w:p>
      <w:pPr>
        <w:pStyle w:val="BodyText"/>
        <w:spacing w:before="41"/>
        <w:ind w:left="108"/>
      </w:pPr>
      <w:r>
        <w:rPr/>
        <w:t>需要调整时按程序另行公布。</w:t>
      </w:r>
    </w:p>
    <w:p>
      <w:pPr>
        <w:pStyle w:val="BodyText"/>
        <w:spacing w:line="321" w:lineRule="auto" w:before="153"/>
        <w:ind w:left="108" w:right="386" w:firstLine="643"/>
        <w:jc w:val="both"/>
      </w:pPr>
      <w:r>
        <w:rPr>
          <w:spacing w:val="5"/>
        </w:rPr>
        <w:t>（二</w:t>
      </w:r>
      <w:r>
        <w:rPr/>
        <w:t>）城市规划区内的工业企业在新厂区建厂房、仓库及其他生产性附属设施等建设项目的，城市基础设施配套费</w:t>
      </w:r>
      <w:r>
        <w:rPr>
          <w:spacing w:val="5"/>
        </w:rPr>
        <w:t>（</w:t>
      </w:r>
      <w:r>
        <w:rPr>
          <w:spacing w:val="-14"/>
        </w:rPr>
        <w:t>不</w:t>
      </w:r>
      <w:r>
        <w:rPr>
          <w:spacing w:val="-5"/>
        </w:rPr>
        <w:t>含供水、供气管网建设配套部分</w:t>
      </w:r>
      <w:r>
        <w:rPr>
          <w:spacing w:val="-22"/>
        </w:rPr>
        <w:t>）</w:t>
      </w:r>
      <w:r>
        <w:rPr>
          <w:spacing w:val="-9"/>
        </w:rPr>
        <w:t>按建筑面积每平方米 </w:t>
      </w:r>
      <w:r>
        <w:rPr/>
        <w:t>30</w:t>
      </w:r>
      <w:r>
        <w:rPr>
          <w:spacing w:val="-28"/>
        </w:rPr>
        <w:t> 元征收。</w:t>
      </w:r>
    </w:p>
    <w:p>
      <w:pPr>
        <w:pStyle w:val="BodyText"/>
        <w:spacing w:line="321" w:lineRule="auto" w:before="1"/>
        <w:ind w:left="108" w:right="228" w:firstLine="643"/>
        <w:jc w:val="both"/>
      </w:pPr>
      <w:r>
        <w:rPr/>
        <w:t>小城镇规划区内的工业企业在新厂区建厂房、仓库及其他生产性附属设施等建设项目的，城市基础设施配套费</w:t>
      </w:r>
      <w:r>
        <w:rPr>
          <w:spacing w:val="5"/>
        </w:rPr>
        <w:t>（</w:t>
      </w:r>
      <w:r>
        <w:rPr>
          <w:spacing w:val="1"/>
        </w:rPr>
        <w:t>不含供水、供气管网建设配套部分）</w:t>
      </w:r>
      <w:r>
        <w:rPr>
          <w:spacing w:val="-8"/>
        </w:rPr>
        <w:t>按建筑面积每平方米 </w:t>
      </w:r>
      <w:r>
        <w:rPr/>
        <w:t>10</w:t>
      </w:r>
      <w:r>
        <w:rPr>
          <w:spacing w:val="-17"/>
        </w:rPr>
        <w:t> 元征收。</w:t>
      </w:r>
      <w:r>
        <w:rPr>
          <w:spacing w:val="-16"/>
          <w:w w:val="95"/>
        </w:rPr>
        <w:t>改变土地使用性质的，按本条第一款或第二款规定的标准征收。</w:t>
      </w:r>
    </w:p>
    <w:p>
      <w:pPr>
        <w:pStyle w:val="BodyText"/>
        <w:tabs>
          <w:tab w:pos="2047" w:val="left" w:leader="none"/>
        </w:tabs>
        <w:spacing w:line="321" w:lineRule="auto" w:before="4"/>
        <w:ind w:left="108" w:right="228" w:firstLine="643"/>
      </w:pPr>
      <w:r>
        <w:rPr>
          <w:rFonts w:ascii="楷体_GB2312" w:hAnsi="楷体_GB2312" w:eastAsia="楷体_GB2312" w:hint="eastAsia"/>
          <w:spacing w:val="5"/>
        </w:rPr>
        <w:t>第</w:t>
      </w:r>
      <w:r>
        <w:rPr>
          <w:rFonts w:ascii="楷体_GB2312" w:hAnsi="楷体_GB2312" w:eastAsia="楷体_GB2312" w:hint="eastAsia"/>
        </w:rPr>
        <w:t>六条</w:t>
        <w:tab/>
      </w:r>
      <w:r>
        <w:rPr>
          <w:spacing w:val="5"/>
        </w:rPr>
        <w:t>城</w:t>
      </w:r>
      <w:r>
        <w:rPr/>
        <w:t>市</w:t>
      </w:r>
      <w:r>
        <w:rPr>
          <w:spacing w:val="5"/>
        </w:rPr>
        <w:t>基础设</w:t>
      </w:r>
      <w:r>
        <w:rPr/>
        <w:t>施</w:t>
      </w:r>
      <w:r>
        <w:rPr>
          <w:spacing w:val="5"/>
        </w:rPr>
        <w:t>配套费</w:t>
      </w:r>
      <w:r>
        <w:rPr/>
        <w:t>实</w:t>
      </w:r>
      <w:r>
        <w:rPr>
          <w:spacing w:val="7"/>
        </w:rPr>
        <w:t>行</w:t>
      </w:r>
      <w:r>
        <w:rPr/>
        <w:t>“</w:t>
      </w:r>
      <w:r>
        <w:rPr>
          <w:spacing w:val="5"/>
        </w:rPr>
        <w:t>三</w:t>
      </w:r>
      <w:r>
        <w:rPr/>
        <w:t>控</w:t>
      </w:r>
      <w:r>
        <w:rPr>
          <w:spacing w:val="5"/>
        </w:rPr>
        <w:t>一账户”征</w:t>
      </w:r>
      <w:r>
        <w:rPr/>
        <w:t>收管</w:t>
      </w:r>
      <w:r>
        <w:rPr>
          <w:w w:val="95"/>
        </w:rPr>
        <w:t>理办法</w:t>
      </w:r>
      <w:r>
        <w:rPr>
          <w:spacing w:val="-70"/>
          <w:w w:val="95"/>
        </w:rPr>
        <w:t>。</w:t>
      </w:r>
      <w:r>
        <w:rPr>
          <w:w w:val="95"/>
        </w:rPr>
        <w:t>即由财政部门设立专户负责征收城市基础设施配套费， </w:t>
      </w:r>
      <w:r>
        <w:rPr>
          <w:spacing w:val="5"/>
        </w:rPr>
        <w:t>并到</w:t>
      </w:r>
      <w:r>
        <w:rPr/>
        <w:t>同</w:t>
      </w:r>
      <w:r>
        <w:rPr>
          <w:spacing w:val="5"/>
        </w:rPr>
        <w:t>级物价</w:t>
      </w:r>
      <w:r>
        <w:rPr/>
        <w:t>部</w:t>
      </w:r>
      <w:r>
        <w:rPr>
          <w:spacing w:val="5"/>
        </w:rPr>
        <w:t>门办理收</w:t>
      </w:r>
      <w:r>
        <w:rPr/>
        <w:t>费</w:t>
      </w:r>
      <w:r>
        <w:rPr>
          <w:spacing w:val="5"/>
        </w:rPr>
        <w:t>许可证</w:t>
      </w:r>
      <w:r>
        <w:rPr/>
        <w:t>，</w:t>
      </w:r>
      <w:r>
        <w:rPr>
          <w:spacing w:val="5"/>
        </w:rPr>
        <w:t>规划、住</w:t>
      </w:r>
      <w:r>
        <w:rPr/>
        <w:t>建</w:t>
      </w:r>
      <w:r>
        <w:rPr>
          <w:spacing w:val="5"/>
        </w:rPr>
        <w:t>、房管</w:t>
      </w:r>
      <w:r>
        <w:rPr/>
        <w:t>部</w:t>
      </w:r>
      <w:r>
        <w:rPr>
          <w:spacing w:val="5"/>
        </w:rPr>
        <w:t>门</w:t>
      </w:r>
      <w:r>
        <w:rPr/>
        <w:t>分</w:t>
      </w:r>
      <w:r>
        <w:rPr>
          <w:spacing w:val="5"/>
        </w:rPr>
        <w:t>别在</w:t>
      </w:r>
      <w:r>
        <w:rPr/>
        <w:t>办</w:t>
      </w:r>
      <w:r>
        <w:rPr>
          <w:spacing w:val="5"/>
        </w:rPr>
        <w:t>理规划</w:t>
      </w:r>
      <w:r>
        <w:rPr/>
        <w:t>许</w:t>
      </w:r>
      <w:r>
        <w:rPr>
          <w:spacing w:val="5"/>
        </w:rPr>
        <w:t>可、施工</w:t>
      </w:r>
      <w:r>
        <w:rPr/>
        <w:t>许</w:t>
      </w:r>
      <w:r>
        <w:rPr>
          <w:spacing w:val="5"/>
        </w:rPr>
        <w:t>可、房</w:t>
      </w:r>
      <w:r>
        <w:rPr/>
        <w:t>地</w:t>
      </w:r>
      <w:r>
        <w:rPr>
          <w:spacing w:val="5"/>
        </w:rPr>
        <w:t>产开发项</w:t>
      </w:r>
      <w:r>
        <w:rPr/>
        <w:t>目</w:t>
      </w:r>
      <w:r>
        <w:rPr>
          <w:spacing w:val="5"/>
        </w:rPr>
        <w:t>经营许</w:t>
      </w:r>
      <w:r>
        <w:rPr/>
        <w:t>可</w:t>
      </w:r>
      <w:r>
        <w:rPr>
          <w:spacing w:val="5"/>
        </w:rPr>
        <w:t>、</w:t>
      </w:r>
      <w:r>
        <w:rPr/>
        <w:t>商</w:t>
      </w:r>
      <w:r>
        <w:rPr>
          <w:spacing w:val="5"/>
        </w:rPr>
        <w:t>品房</w:t>
      </w:r>
      <w:r>
        <w:rPr/>
        <w:t>预</w:t>
      </w:r>
      <w:r>
        <w:rPr>
          <w:spacing w:val="5"/>
        </w:rPr>
        <w:t>售许可</w:t>
      </w:r>
      <w:r>
        <w:rPr/>
        <w:t>及</w:t>
      </w:r>
      <w:r>
        <w:rPr>
          <w:spacing w:val="5"/>
        </w:rPr>
        <w:t>房屋初始</w:t>
      </w:r>
      <w:r>
        <w:rPr/>
        <w:t>登</w:t>
      </w:r>
      <w:r>
        <w:rPr>
          <w:spacing w:val="5"/>
        </w:rPr>
        <w:t>记环节</w:t>
      </w:r>
      <w:r>
        <w:rPr/>
        <w:t>严</w:t>
      </w:r>
      <w:r>
        <w:rPr>
          <w:spacing w:val="5"/>
        </w:rPr>
        <w:t>格把关控</w:t>
      </w:r>
      <w:r>
        <w:rPr/>
        <w:t>制</w:t>
      </w:r>
      <w:r>
        <w:rPr>
          <w:spacing w:val="5"/>
        </w:rPr>
        <w:t>，确保</w:t>
      </w:r>
      <w:r>
        <w:rPr/>
        <w:t>城</w:t>
      </w:r>
      <w:r>
        <w:rPr>
          <w:spacing w:val="5"/>
        </w:rPr>
        <w:t>市</w:t>
      </w:r>
      <w:r>
        <w:rPr/>
        <w:t>基础设施配套费应收尽收。</w:t>
      </w:r>
    </w:p>
    <w:p>
      <w:pPr>
        <w:pStyle w:val="BodyText"/>
        <w:spacing w:line="321" w:lineRule="auto" w:before="2"/>
        <w:ind w:left="108" w:right="384" w:firstLine="643"/>
        <w:jc w:val="both"/>
      </w:pPr>
      <w:r>
        <w:rPr>
          <w:rFonts w:ascii="楷体_GB2312" w:eastAsia="楷体_GB2312" w:hint="eastAsia"/>
          <w:spacing w:val="40"/>
        </w:rPr>
        <w:t>第七条 </w:t>
      </w:r>
      <w:r>
        <w:rPr/>
        <w:t>小城镇规划区范围内建设项目应缴纳的城市基础</w:t>
      </w:r>
      <w:r>
        <w:rPr>
          <w:spacing w:val="-1"/>
        </w:rPr>
        <w:t>设施配套费，由县规划部门统一负责征收，资金专项用于小城</w:t>
      </w:r>
      <w:r>
        <w:rPr>
          <w:spacing w:val="-9"/>
        </w:rPr>
        <w:t>镇基础设施的重点工程建设，其中 </w:t>
      </w:r>
      <w:r>
        <w:rPr/>
        <w:t>20</w:t>
      </w:r>
      <w:r>
        <w:rPr>
          <w:spacing w:val="-2"/>
        </w:rPr>
        <w:t>%由县安排，</w:t>
      </w:r>
      <w:r>
        <w:rPr>
          <w:spacing w:val="-10"/>
        </w:rPr>
        <w:t>80</w:t>
      </w:r>
      <w:r>
        <w:rPr>
          <w:spacing w:val="-3"/>
        </w:rPr>
        <w:t>%返还乡镇</w:t>
      </w:r>
    </w:p>
    <w:p>
      <w:pPr>
        <w:pStyle w:val="BodyText"/>
        <w:spacing w:line="321" w:lineRule="auto"/>
        <w:ind w:left="108" w:right="386"/>
      </w:pPr>
      <w:r>
        <w:rPr>
          <w:w w:val="95"/>
        </w:rPr>
        <w:t>（</w:t>
      </w:r>
      <w:r>
        <w:rPr>
          <w:spacing w:val="-7"/>
          <w:w w:val="95"/>
        </w:rPr>
        <w:t>街道、开发区、景区</w:t>
      </w:r>
      <w:r>
        <w:rPr>
          <w:spacing w:val="-161"/>
          <w:w w:val="95"/>
        </w:rPr>
        <w:t>）</w:t>
      </w:r>
      <w:r>
        <w:rPr>
          <w:spacing w:val="-5"/>
          <w:w w:val="95"/>
        </w:rPr>
        <w:t>。收费须使用省财政部门监制的收费票 </w:t>
      </w:r>
      <w:r>
        <w:rPr>
          <w:spacing w:val="-5"/>
        </w:rPr>
        <w:t>据，纳入县财政专户，实行收支两条线管理。</w:t>
      </w:r>
    </w:p>
    <w:p>
      <w:pPr>
        <w:pStyle w:val="BodyText"/>
        <w:tabs>
          <w:tab w:pos="2047" w:val="left" w:leader="none"/>
        </w:tabs>
        <w:spacing w:line="321" w:lineRule="auto" w:before="2"/>
        <w:ind w:left="108" w:right="386" w:firstLine="643"/>
      </w:pPr>
      <w:r>
        <w:rPr>
          <w:rFonts w:ascii="楷体_GB2312" w:hAnsi="楷体_GB2312" w:eastAsia="楷体_GB2312" w:hint="eastAsia"/>
          <w:spacing w:val="5"/>
        </w:rPr>
        <w:t>第</w:t>
      </w:r>
      <w:r>
        <w:rPr>
          <w:rFonts w:ascii="楷体_GB2312" w:hAnsi="楷体_GB2312" w:eastAsia="楷体_GB2312" w:hint="eastAsia"/>
        </w:rPr>
        <w:t>八条</w:t>
        <w:tab/>
      </w:r>
      <w:r>
        <w:rPr>
          <w:spacing w:val="5"/>
        </w:rPr>
        <w:t>规</w:t>
      </w:r>
      <w:r>
        <w:rPr/>
        <w:t>划</w:t>
      </w:r>
      <w:r>
        <w:rPr>
          <w:spacing w:val="5"/>
        </w:rPr>
        <w:t>部门应</w:t>
      </w:r>
      <w:r>
        <w:rPr/>
        <w:t>将</w:t>
      </w:r>
      <w:r>
        <w:rPr>
          <w:spacing w:val="5"/>
        </w:rPr>
        <w:t>已规划</w:t>
      </w:r>
      <w:r>
        <w:rPr/>
        <w:t>立</w:t>
      </w:r>
      <w:r>
        <w:rPr>
          <w:spacing w:val="5"/>
        </w:rPr>
        <w:t>项的建</w:t>
      </w:r>
      <w:r>
        <w:rPr/>
        <w:t>设</w:t>
      </w:r>
      <w:r>
        <w:rPr>
          <w:spacing w:val="5"/>
        </w:rPr>
        <w:t>项目有</w:t>
      </w:r>
      <w:r>
        <w:rPr/>
        <w:t>关</w:t>
      </w:r>
      <w:r>
        <w:rPr>
          <w:spacing w:val="5"/>
        </w:rPr>
        <w:t>情况</w:t>
      </w:r>
      <w:r>
        <w:rPr>
          <w:spacing w:val="-12"/>
        </w:rPr>
        <w:t>及</w:t>
      </w:r>
      <w:r>
        <w:rPr>
          <w:spacing w:val="5"/>
        </w:rPr>
        <w:t>时抄</w:t>
      </w:r>
      <w:r>
        <w:rPr/>
        <w:t>送</w:t>
      </w:r>
      <w:r>
        <w:rPr>
          <w:spacing w:val="5"/>
        </w:rPr>
        <w:t>财政、</w:t>
      </w:r>
      <w:r>
        <w:rPr/>
        <w:t>住</w:t>
      </w:r>
      <w:r>
        <w:rPr>
          <w:spacing w:val="5"/>
        </w:rPr>
        <w:t>建、房管</w:t>
      </w:r>
      <w:r>
        <w:rPr/>
        <w:t>部</w:t>
      </w:r>
      <w:r>
        <w:rPr>
          <w:spacing w:val="5"/>
        </w:rPr>
        <w:t>门，并</w:t>
      </w:r>
      <w:r>
        <w:rPr/>
        <w:t>负</w:t>
      </w:r>
      <w:r>
        <w:rPr>
          <w:spacing w:val="5"/>
        </w:rPr>
        <w:t>责开</w:t>
      </w:r>
      <w:r>
        <w:rPr/>
        <w:t>具</w:t>
      </w:r>
      <w:r>
        <w:rPr>
          <w:spacing w:val="5"/>
        </w:rPr>
        <w:t>“郯城</w:t>
      </w:r>
      <w:r>
        <w:rPr/>
        <w:t>县</w:t>
      </w:r>
      <w:r>
        <w:rPr>
          <w:spacing w:val="5"/>
        </w:rPr>
        <w:t>建设项</w:t>
      </w:r>
      <w:r>
        <w:rPr>
          <w:spacing w:val="-14"/>
        </w:rPr>
        <w:t>目</w:t>
      </w:r>
    </w:p>
    <w:p>
      <w:pPr>
        <w:spacing w:after="0" w:line="321" w:lineRule="auto"/>
        <w:sectPr>
          <w:pgSz w:w="11910" w:h="16840"/>
          <w:pgMar w:header="0" w:footer="1342" w:top="1580" w:bottom="1540" w:left="1480" w:right="1200"/>
        </w:sectPr>
      </w:pPr>
    </w:p>
    <w:p>
      <w:pPr>
        <w:pStyle w:val="BodyText"/>
        <w:spacing w:before="11"/>
        <w:rPr>
          <w:sz w:val="15"/>
        </w:rPr>
      </w:pPr>
    </w:p>
    <w:p>
      <w:pPr>
        <w:pStyle w:val="BodyText"/>
        <w:spacing w:line="321" w:lineRule="auto" w:before="41"/>
        <w:ind w:left="108" w:right="386"/>
      </w:pPr>
      <w:r>
        <w:rPr>
          <w:spacing w:val="-13"/>
        </w:rPr>
        <w:t>办理城市基础设施配套费手续通知单”，及时通知财政部门根据规划许可面积征收城市基础设施配套费。</w:t>
      </w:r>
    </w:p>
    <w:p>
      <w:pPr>
        <w:pStyle w:val="BodyText"/>
        <w:spacing w:line="321" w:lineRule="auto" w:before="3"/>
        <w:ind w:left="108" w:right="386" w:firstLine="643"/>
        <w:jc w:val="both"/>
      </w:pPr>
      <w:r>
        <w:rPr>
          <w:rFonts w:ascii="楷体_GB2312" w:eastAsia="楷体_GB2312" w:hint="eastAsia"/>
        </w:rPr>
        <w:t>第九条 </w:t>
      </w:r>
      <w:r>
        <w:rPr/>
        <w:t>财政部门应将已缴纳城市基础设施配套费的建设项目名单及缴费情况及时抄送规划、住建、房管部门。规划、住建、房管部门应依据财政部门出具的完费通知单列示的建设项目及缴费面积，在办理规划许可、施工许可、房地产开发项目经营许可、商品房预售许可及房屋初始登记审批手续时认真把关，严格审核。缴费面积与规划许可面积、施工许可面积、申请房地产开发项目经营许可面积、申请商品房预售许可面积及房屋初始登记面积不一致的，规划、住建、房管部门在办理相关许可前，要及时通知财政部门追缴城市基础设施配套费， 并依法予以处罚。</w:t>
      </w:r>
    </w:p>
    <w:p>
      <w:pPr>
        <w:pStyle w:val="BodyText"/>
        <w:tabs>
          <w:tab w:pos="2047" w:val="left" w:leader="none"/>
        </w:tabs>
        <w:spacing w:line="321" w:lineRule="auto" w:before="4"/>
        <w:ind w:left="108" w:right="228" w:firstLine="643"/>
      </w:pPr>
      <w:r>
        <w:rPr>
          <w:rFonts w:ascii="楷体_GB2312" w:eastAsia="楷体_GB2312" w:hint="eastAsia"/>
          <w:spacing w:val="5"/>
        </w:rPr>
        <w:t>第</w:t>
      </w:r>
      <w:r>
        <w:rPr>
          <w:rFonts w:ascii="楷体_GB2312" w:eastAsia="楷体_GB2312" w:hint="eastAsia"/>
        </w:rPr>
        <w:t>十条</w:t>
        <w:tab/>
      </w:r>
      <w:r>
        <w:rPr>
          <w:spacing w:val="5"/>
        </w:rPr>
        <w:t>建</w:t>
      </w:r>
      <w:r>
        <w:rPr/>
        <w:t>设</w:t>
      </w:r>
      <w:r>
        <w:rPr>
          <w:spacing w:val="5"/>
        </w:rPr>
        <w:t>单位或</w:t>
      </w:r>
      <w:r>
        <w:rPr/>
        <w:t>个</w:t>
      </w:r>
      <w:r>
        <w:rPr>
          <w:spacing w:val="5"/>
        </w:rPr>
        <w:t>人应在</w:t>
      </w:r>
      <w:r>
        <w:rPr/>
        <w:t>获</w:t>
      </w:r>
      <w:r>
        <w:rPr>
          <w:spacing w:val="5"/>
        </w:rPr>
        <w:t>得规划</w:t>
      </w:r>
      <w:r>
        <w:rPr/>
        <w:t>审</w:t>
      </w:r>
      <w:r>
        <w:rPr>
          <w:spacing w:val="5"/>
        </w:rPr>
        <w:t>批之日</w:t>
      </w:r>
      <w:r>
        <w:rPr/>
        <w:t>起</w:t>
      </w:r>
      <w:r>
        <w:rPr>
          <w:spacing w:val="5"/>
        </w:rPr>
        <w:t>十五</w:t>
      </w:r>
      <w:r>
        <w:rPr/>
        <w:t>日</w:t>
      </w:r>
      <w:r>
        <w:rPr>
          <w:w w:val="95"/>
        </w:rPr>
        <w:t>内</w:t>
      </w:r>
      <w:r>
        <w:rPr>
          <w:spacing w:val="-34"/>
          <w:w w:val="95"/>
        </w:rPr>
        <w:t>，</w:t>
      </w:r>
      <w:r>
        <w:rPr>
          <w:w w:val="95"/>
        </w:rPr>
        <w:t>一次性足额缴纳城市基础设施配套费</w:t>
      </w:r>
      <w:r>
        <w:rPr>
          <w:spacing w:val="-34"/>
          <w:w w:val="95"/>
        </w:rPr>
        <w:t>。</w:t>
      </w:r>
      <w:r>
        <w:rPr>
          <w:w w:val="95"/>
        </w:rPr>
        <w:t>不按时足额缴纳的， </w:t>
      </w:r>
      <w:r>
        <w:rPr/>
        <w:t>规划、住建、房管部门不予办理相关许可。</w:t>
      </w:r>
    </w:p>
    <w:p>
      <w:pPr>
        <w:pStyle w:val="BodyText"/>
        <w:spacing w:before="13"/>
        <w:rPr>
          <w:sz w:val="42"/>
        </w:rPr>
      </w:pPr>
    </w:p>
    <w:p>
      <w:pPr>
        <w:pStyle w:val="BodyText"/>
        <w:tabs>
          <w:tab w:pos="1279" w:val="left" w:leader="none"/>
        </w:tabs>
        <w:ind w:right="280"/>
        <w:jc w:val="center"/>
        <w:rPr>
          <w:rFonts w:ascii="黑体" w:eastAsia="黑体" w:hint="eastAsia"/>
        </w:rPr>
      </w:pPr>
      <w:r>
        <w:rPr>
          <w:rFonts w:ascii="黑体" w:eastAsia="黑体" w:hint="eastAsia"/>
        </w:rPr>
        <w:t>第三章</w:t>
        <w:tab/>
        <w:t>减、免、缓缴范围及办理程序</w:t>
      </w:r>
    </w:p>
    <w:p>
      <w:pPr>
        <w:pStyle w:val="BodyText"/>
        <w:rPr>
          <w:rFonts w:ascii="黑体"/>
          <w:sz w:val="20"/>
        </w:rPr>
      </w:pPr>
    </w:p>
    <w:p>
      <w:pPr>
        <w:pStyle w:val="BodyText"/>
        <w:rPr>
          <w:rFonts w:ascii="黑体"/>
          <w:sz w:val="20"/>
        </w:rPr>
      </w:pPr>
    </w:p>
    <w:p>
      <w:pPr>
        <w:pStyle w:val="BodyText"/>
        <w:spacing w:before="6"/>
        <w:rPr>
          <w:rFonts w:ascii="黑体"/>
          <w:sz w:val="17"/>
        </w:rPr>
      </w:pPr>
    </w:p>
    <w:p>
      <w:pPr>
        <w:pStyle w:val="BodyText"/>
        <w:tabs>
          <w:tab w:pos="2371" w:val="left" w:leader="none"/>
        </w:tabs>
        <w:spacing w:before="54"/>
        <w:ind w:left="751"/>
      </w:pPr>
      <w:r>
        <w:rPr>
          <w:rFonts w:ascii="楷体_GB2312" w:eastAsia="楷体_GB2312" w:hint="eastAsia"/>
          <w:spacing w:val="5"/>
        </w:rPr>
        <w:t>第</w:t>
      </w:r>
      <w:r>
        <w:rPr>
          <w:rFonts w:ascii="楷体_GB2312" w:eastAsia="楷体_GB2312" w:hint="eastAsia"/>
        </w:rPr>
        <w:t>十</w:t>
      </w:r>
      <w:r>
        <w:rPr>
          <w:rFonts w:ascii="楷体_GB2312" w:eastAsia="楷体_GB2312" w:hint="eastAsia"/>
          <w:spacing w:val="5"/>
        </w:rPr>
        <w:t>一</w:t>
      </w:r>
      <w:r>
        <w:rPr>
          <w:rFonts w:ascii="楷体_GB2312" w:eastAsia="楷体_GB2312" w:hint="eastAsia"/>
        </w:rPr>
        <w:t>条</w:t>
        <w:tab/>
      </w:r>
      <w:r>
        <w:rPr>
          <w:spacing w:val="5"/>
        </w:rPr>
        <w:t>城</w:t>
      </w:r>
      <w:r>
        <w:rPr/>
        <w:t>市</w:t>
      </w:r>
      <w:r>
        <w:rPr>
          <w:spacing w:val="5"/>
        </w:rPr>
        <w:t>基础设</w:t>
      </w:r>
      <w:r>
        <w:rPr/>
        <w:t>施</w:t>
      </w:r>
      <w:r>
        <w:rPr>
          <w:spacing w:val="5"/>
        </w:rPr>
        <w:t>配套费</w:t>
      </w:r>
      <w:r>
        <w:rPr/>
        <w:t>按</w:t>
      </w:r>
      <w:r>
        <w:rPr>
          <w:spacing w:val="5"/>
        </w:rPr>
        <w:t>下列情</w:t>
      </w:r>
      <w:r>
        <w:rPr/>
        <w:t>形</w:t>
      </w:r>
      <w:r>
        <w:rPr>
          <w:spacing w:val="5"/>
        </w:rPr>
        <w:t>予以免</w:t>
      </w:r>
      <w:r>
        <w:rPr/>
        <w:t>征</w:t>
      </w:r>
      <w:r>
        <w:rPr>
          <w:spacing w:val="5"/>
        </w:rPr>
        <w:t>、</w:t>
      </w:r>
      <w:r>
        <w:rPr/>
        <w:t>减</w:t>
      </w:r>
    </w:p>
    <w:p>
      <w:pPr>
        <w:pStyle w:val="BodyText"/>
        <w:spacing w:before="150"/>
        <w:ind w:left="108"/>
      </w:pPr>
      <w:r>
        <w:rPr/>
        <w:t>征。</w:t>
      </w:r>
    </w:p>
    <w:p>
      <w:pPr>
        <w:pStyle w:val="BodyText"/>
        <w:spacing w:before="153"/>
        <w:ind w:left="751"/>
      </w:pPr>
      <w:r>
        <w:rPr/>
        <w:t>（一）经济适用住房和廉租房，免征全部城市基础设施配</w:t>
      </w:r>
    </w:p>
    <w:p>
      <w:pPr>
        <w:pStyle w:val="BodyText"/>
        <w:spacing w:before="13"/>
        <w:rPr>
          <w:sz w:val="7"/>
        </w:rPr>
      </w:pPr>
    </w:p>
    <w:p>
      <w:pPr>
        <w:pStyle w:val="BodyText"/>
        <w:spacing w:before="41"/>
        <w:ind w:left="108"/>
      </w:pPr>
      <w:r>
        <w:rPr/>
        <w:t>套费。</w:t>
      </w:r>
    </w:p>
    <w:p>
      <w:pPr>
        <w:spacing w:after="0"/>
        <w:sectPr>
          <w:pgSz w:w="11910" w:h="16840"/>
          <w:pgMar w:header="0" w:footer="1342" w:top="1580" w:bottom="1540" w:left="1480" w:right="1200"/>
        </w:sectPr>
      </w:pPr>
    </w:p>
    <w:p>
      <w:pPr>
        <w:pStyle w:val="BodyText"/>
        <w:spacing w:before="11"/>
        <w:rPr>
          <w:sz w:val="15"/>
        </w:rPr>
      </w:pPr>
    </w:p>
    <w:p>
      <w:pPr>
        <w:pStyle w:val="BodyText"/>
        <w:spacing w:line="321" w:lineRule="auto" w:before="41"/>
        <w:ind w:left="108" w:right="389" w:firstLine="643"/>
      </w:pPr>
      <w:r>
        <w:rPr/>
        <w:t>（二）下列建设项目经审查，免征除供水、供气管网建设配套费外的其它部分城市基础设施配套费。</w:t>
      </w:r>
    </w:p>
    <w:p>
      <w:pPr>
        <w:pStyle w:val="ListParagraph"/>
        <w:numPr>
          <w:ilvl w:val="0"/>
          <w:numId w:val="1"/>
        </w:numPr>
        <w:tabs>
          <w:tab w:pos="1093" w:val="left" w:leader="none"/>
        </w:tabs>
        <w:spacing w:line="321" w:lineRule="auto" w:before="1" w:after="0"/>
        <w:ind w:left="108" w:right="386" w:firstLine="643"/>
        <w:jc w:val="both"/>
        <w:rPr>
          <w:sz w:val="32"/>
        </w:rPr>
      </w:pPr>
      <w:r>
        <w:rPr>
          <w:sz w:val="32"/>
        </w:rPr>
        <w:t>学校的教学及辅助用房、办公用房、生活用房、实习车</w:t>
      </w:r>
      <w:r>
        <w:rPr>
          <w:spacing w:val="1"/>
          <w:sz w:val="32"/>
        </w:rPr>
        <w:t>间等用于教育教学活动的校舍设施</w:t>
      </w:r>
      <w:r>
        <w:rPr>
          <w:sz w:val="32"/>
        </w:rPr>
        <w:t>（</w:t>
      </w:r>
      <w:r>
        <w:rPr>
          <w:spacing w:val="1"/>
          <w:sz w:val="32"/>
        </w:rPr>
        <w:t>不包括教职工公寓和以营</w:t>
      </w:r>
      <w:r>
        <w:rPr>
          <w:w w:val="99"/>
          <w:sz w:val="32"/>
        </w:rPr>
        <w:t>利为目的的校舍建设</w:t>
      </w:r>
      <w:r>
        <w:rPr>
          <w:spacing w:val="-161"/>
          <w:w w:val="99"/>
          <w:sz w:val="32"/>
        </w:rPr>
        <w:t>）</w:t>
      </w:r>
      <w:r>
        <w:rPr>
          <w:w w:val="99"/>
          <w:sz w:val="32"/>
        </w:rPr>
        <w:t>；</w:t>
      </w:r>
    </w:p>
    <w:p>
      <w:pPr>
        <w:pStyle w:val="ListParagraph"/>
        <w:numPr>
          <w:ilvl w:val="0"/>
          <w:numId w:val="1"/>
        </w:numPr>
        <w:tabs>
          <w:tab w:pos="1112" w:val="left" w:leader="none"/>
        </w:tabs>
        <w:spacing w:line="240" w:lineRule="auto" w:before="1" w:after="0"/>
        <w:ind w:left="1112" w:right="0" w:hanging="361"/>
        <w:jc w:val="both"/>
        <w:rPr>
          <w:sz w:val="32"/>
        </w:rPr>
      </w:pPr>
      <w:r>
        <w:rPr>
          <w:sz w:val="32"/>
        </w:rPr>
        <w:t>《军事设施保护法》规定的直接用于军事目的设施；</w:t>
      </w:r>
    </w:p>
    <w:p>
      <w:pPr>
        <w:pStyle w:val="ListParagraph"/>
        <w:numPr>
          <w:ilvl w:val="0"/>
          <w:numId w:val="1"/>
        </w:numPr>
        <w:tabs>
          <w:tab w:pos="1112" w:val="left" w:leader="none"/>
        </w:tabs>
        <w:spacing w:line="321" w:lineRule="auto" w:before="152" w:after="0"/>
        <w:ind w:left="108" w:right="386" w:firstLine="643"/>
        <w:jc w:val="both"/>
        <w:rPr>
          <w:sz w:val="32"/>
        </w:rPr>
      </w:pPr>
      <w:r>
        <w:rPr>
          <w:sz w:val="32"/>
        </w:rPr>
        <w:t>福利院、敬老院、救助站、殡仪馆、政府兴办的老年公寓等社会福利设施；</w:t>
      </w:r>
    </w:p>
    <w:p>
      <w:pPr>
        <w:pStyle w:val="ListParagraph"/>
        <w:numPr>
          <w:ilvl w:val="0"/>
          <w:numId w:val="1"/>
        </w:numPr>
        <w:tabs>
          <w:tab w:pos="1120" w:val="left" w:leader="none"/>
        </w:tabs>
        <w:spacing w:line="240" w:lineRule="auto" w:before="1" w:after="0"/>
        <w:ind w:left="1119" w:right="0" w:hanging="369"/>
        <w:jc w:val="both"/>
        <w:rPr>
          <w:sz w:val="32"/>
        </w:rPr>
      </w:pPr>
      <w:r>
        <w:rPr>
          <w:sz w:val="32"/>
        </w:rPr>
        <w:t>城市市政公用设施及其他非经营性质的公益性建设项目；</w:t>
      </w:r>
    </w:p>
    <w:p>
      <w:pPr>
        <w:pStyle w:val="ListParagraph"/>
        <w:numPr>
          <w:ilvl w:val="0"/>
          <w:numId w:val="1"/>
        </w:numPr>
        <w:tabs>
          <w:tab w:pos="1105" w:val="left" w:leader="none"/>
        </w:tabs>
        <w:spacing w:line="240" w:lineRule="auto" w:before="153" w:after="0"/>
        <w:ind w:left="1104" w:right="0" w:hanging="354"/>
        <w:jc w:val="both"/>
        <w:rPr>
          <w:sz w:val="32"/>
        </w:rPr>
      </w:pPr>
      <w:r>
        <w:rPr>
          <w:sz w:val="32"/>
        </w:rPr>
        <w:t>行政事业单位新建、改建和扩建办公楼；</w:t>
      </w:r>
    </w:p>
    <w:p>
      <w:pPr>
        <w:pStyle w:val="ListParagraph"/>
        <w:numPr>
          <w:ilvl w:val="0"/>
          <w:numId w:val="1"/>
        </w:numPr>
        <w:tabs>
          <w:tab w:pos="1115" w:val="left" w:leader="none"/>
        </w:tabs>
        <w:spacing w:line="321" w:lineRule="auto" w:before="152" w:after="0"/>
        <w:ind w:left="108" w:right="386" w:firstLine="643"/>
        <w:jc w:val="left"/>
        <w:rPr>
          <w:sz w:val="32"/>
        </w:rPr>
      </w:pPr>
      <w:r>
        <w:rPr>
          <w:sz w:val="32"/>
        </w:rPr>
        <w:t>城中村（</w:t>
      </w:r>
      <w:r>
        <w:rPr>
          <w:spacing w:val="5"/>
          <w:sz w:val="32"/>
        </w:rPr>
        <w:t>居</w:t>
      </w:r>
      <w:r>
        <w:rPr>
          <w:sz w:val="32"/>
        </w:rPr>
        <w:t>）居住区和棚户区等旧城改造项目拆迁还建部分；</w:t>
      </w:r>
    </w:p>
    <w:p>
      <w:pPr>
        <w:pStyle w:val="ListParagraph"/>
        <w:numPr>
          <w:ilvl w:val="0"/>
          <w:numId w:val="1"/>
        </w:numPr>
        <w:tabs>
          <w:tab w:pos="1115" w:val="left" w:leader="none"/>
        </w:tabs>
        <w:spacing w:line="321" w:lineRule="auto" w:before="1" w:after="0"/>
        <w:ind w:left="108" w:right="386" w:firstLine="643"/>
        <w:jc w:val="left"/>
        <w:rPr>
          <w:sz w:val="32"/>
        </w:rPr>
      </w:pPr>
      <w:r>
        <w:rPr>
          <w:sz w:val="32"/>
        </w:rPr>
        <w:t>有关法律、法规、规章和国家政策明确规定应当免缴城市基础设施配套费的其它建设项目。</w:t>
      </w:r>
    </w:p>
    <w:p>
      <w:pPr>
        <w:pStyle w:val="BodyText"/>
        <w:spacing w:line="321" w:lineRule="auto"/>
        <w:ind w:left="108" w:right="389" w:firstLine="643"/>
      </w:pPr>
      <w:r>
        <w:rPr/>
        <w:t>（三）下列建设项目经审查，减征除供水、供气管网建设配套费外的其他部分城市基础设施配套费。</w:t>
      </w:r>
    </w:p>
    <w:p>
      <w:pPr>
        <w:pStyle w:val="ListParagraph"/>
        <w:numPr>
          <w:ilvl w:val="0"/>
          <w:numId w:val="2"/>
        </w:numPr>
        <w:tabs>
          <w:tab w:pos="1093" w:val="left" w:leader="none"/>
        </w:tabs>
        <w:spacing w:line="321" w:lineRule="auto" w:before="1" w:after="0"/>
        <w:ind w:left="108" w:right="389" w:firstLine="643"/>
        <w:jc w:val="left"/>
        <w:rPr>
          <w:sz w:val="32"/>
        </w:rPr>
      </w:pPr>
      <w:r>
        <w:rPr>
          <w:sz w:val="32"/>
        </w:rPr>
        <w:t>县政府确定的年度重点建设项目（不含工业企业项目和</w:t>
      </w:r>
      <w:r>
        <w:rPr>
          <w:w w:val="99"/>
          <w:sz w:val="32"/>
        </w:rPr>
        <w:t>房地产开发建设项目</w:t>
      </w:r>
      <w:r>
        <w:rPr>
          <w:spacing w:val="-161"/>
          <w:w w:val="99"/>
          <w:sz w:val="32"/>
        </w:rPr>
        <w:t>）</w:t>
      </w:r>
      <w:r>
        <w:rPr>
          <w:w w:val="99"/>
          <w:sz w:val="32"/>
        </w:rPr>
        <w:t>，减按</w:t>
      </w:r>
      <w:r>
        <w:rPr>
          <w:spacing w:val="-79"/>
          <w:sz w:val="32"/>
        </w:rPr>
        <w:t> </w:t>
      </w:r>
      <w:r>
        <w:rPr>
          <w:w w:val="99"/>
          <w:sz w:val="32"/>
        </w:rPr>
        <w:t>5</w:t>
      </w:r>
      <w:r>
        <w:rPr>
          <w:spacing w:val="-1"/>
          <w:w w:val="99"/>
          <w:sz w:val="32"/>
        </w:rPr>
        <w:t>0</w:t>
      </w:r>
      <w:r>
        <w:rPr>
          <w:w w:val="99"/>
          <w:sz w:val="32"/>
        </w:rPr>
        <w:t>%征收；</w:t>
      </w:r>
    </w:p>
    <w:p>
      <w:pPr>
        <w:pStyle w:val="ListParagraph"/>
        <w:numPr>
          <w:ilvl w:val="0"/>
          <w:numId w:val="2"/>
        </w:numPr>
        <w:tabs>
          <w:tab w:pos="1115" w:val="left" w:leader="none"/>
        </w:tabs>
        <w:spacing w:line="321" w:lineRule="auto" w:before="1" w:after="0"/>
        <w:ind w:left="108" w:right="386" w:firstLine="643"/>
        <w:jc w:val="left"/>
        <w:rPr>
          <w:sz w:val="32"/>
        </w:rPr>
      </w:pPr>
      <w:r>
        <w:rPr>
          <w:sz w:val="32"/>
        </w:rPr>
        <w:t>对酒店、商业市场等能够长期形成税收的服务业建设项</w:t>
      </w:r>
      <w:r>
        <w:rPr>
          <w:spacing w:val="-17"/>
          <w:sz w:val="32"/>
        </w:rPr>
        <w:t>目，减按 </w:t>
      </w:r>
      <w:r>
        <w:rPr>
          <w:sz w:val="32"/>
        </w:rPr>
        <w:t>50%征收；</w:t>
      </w:r>
    </w:p>
    <w:p>
      <w:pPr>
        <w:pStyle w:val="ListParagraph"/>
        <w:numPr>
          <w:ilvl w:val="0"/>
          <w:numId w:val="2"/>
        </w:numPr>
        <w:tabs>
          <w:tab w:pos="1112" w:val="left" w:leader="none"/>
        </w:tabs>
        <w:spacing w:line="321" w:lineRule="auto" w:before="1" w:after="0"/>
        <w:ind w:left="108" w:right="386" w:firstLine="643"/>
        <w:jc w:val="left"/>
        <w:rPr>
          <w:sz w:val="32"/>
        </w:rPr>
      </w:pPr>
      <w:r>
        <w:rPr>
          <w:sz w:val="32"/>
        </w:rPr>
        <w:t>有关法律、法规、规章和国家政策明确规定可以减征城市基础设施配套费的其他建设项目。</w:t>
      </w:r>
    </w:p>
    <w:p>
      <w:pPr>
        <w:spacing w:after="0" w:line="321" w:lineRule="auto"/>
        <w:jc w:val="left"/>
        <w:rPr>
          <w:sz w:val="32"/>
        </w:rPr>
        <w:sectPr>
          <w:pgSz w:w="11910" w:h="16840"/>
          <w:pgMar w:header="0" w:footer="1342" w:top="1580" w:bottom="1540" w:left="1480" w:right="1200"/>
        </w:sectPr>
      </w:pPr>
    </w:p>
    <w:p>
      <w:pPr>
        <w:pStyle w:val="BodyText"/>
        <w:spacing w:before="11"/>
        <w:rPr>
          <w:sz w:val="15"/>
        </w:rPr>
      </w:pPr>
    </w:p>
    <w:p>
      <w:pPr>
        <w:pStyle w:val="BodyText"/>
        <w:spacing w:line="321" w:lineRule="auto" w:before="41"/>
        <w:ind w:left="108" w:right="389" w:firstLine="643"/>
      </w:pPr>
      <w:r>
        <w:rPr/>
        <w:t>（四）其他重点项目或招商引资项目，需要减免城市基础设施配套费的，由县政府研究确定。</w:t>
      </w:r>
    </w:p>
    <w:p>
      <w:pPr>
        <w:pStyle w:val="BodyText"/>
        <w:spacing w:line="321" w:lineRule="auto" w:before="1"/>
        <w:ind w:left="108" w:right="318" w:firstLine="643"/>
        <w:jc w:val="both"/>
      </w:pPr>
      <w:r>
        <w:rPr>
          <w:spacing w:val="5"/>
        </w:rPr>
        <w:t>（五</w:t>
      </w:r>
      <w:r>
        <w:rPr/>
        <w:t>）支持工业企业集约节约利用土地。根据《山东省人民政府转发省国土资源厅等部门关于工业建设项目节约集约利</w:t>
      </w:r>
      <w:r>
        <w:rPr>
          <w:spacing w:val="-6"/>
        </w:rPr>
        <w:t>用土地的意见的通知》(鲁政办发〔</w:t>
      </w:r>
      <w:r>
        <w:rPr/>
        <w:t>2007</w:t>
      </w:r>
      <w:r>
        <w:rPr>
          <w:spacing w:val="-31"/>
        </w:rPr>
        <w:t>〕</w:t>
      </w:r>
      <w:r>
        <w:rPr/>
        <w:t>48</w:t>
      </w:r>
      <w:r>
        <w:rPr>
          <w:spacing w:val="-14"/>
        </w:rPr>
        <w:t> 号)规定，为鼓励企</w:t>
      </w:r>
      <w:r>
        <w:rPr/>
        <w:t>业对现有厂区进行土地资源挖掘使用，在符合城市规划的前提下，工业企业在现有厂区内改建、翻建厂房的，免收配套费； </w:t>
      </w:r>
      <w:r>
        <w:rPr>
          <w:spacing w:val="-14"/>
        </w:rPr>
        <w:t>在现有厂区内扩建、新建厂房的，减按 </w:t>
      </w:r>
      <w:r>
        <w:rPr/>
        <w:t>50</w:t>
      </w:r>
      <w:r>
        <w:rPr>
          <w:spacing w:val="-10"/>
        </w:rPr>
        <w:t>%征收；企业执行《山</w:t>
      </w:r>
      <w:r>
        <w:rPr>
          <w:spacing w:val="-18"/>
          <w:w w:val="95"/>
        </w:rPr>
        <w:t>东省主要工业行业厂房建设指导标准》，建设三层以上厂房的， </w:t>
      </w:r>
      <w:r>
        <w:rPr>
          <w:spacing w:val="3"/>
        </w:rPr>
        <w:t>三层以上</w:t>
      </w:r>
      <w:r>
        <w:rPr>
          <w:spacing w:val="5"/>
        </w:rPr>
        <w:t>（</w:t>
      </w:r>
      <w:r>
        <w:rPr>
          <w:spacing w:val="3"/>
        </w:rPr>
        <w:t>含三层</w:t>
      </w:r>
      <w:r>
        <w:rPr>
          <w:spacing w:val="5"/>
        </w:rPr>
        <w:t>）</w:t>
      </w:r>
      <w:r>
        <w:rPr/>
        <w:t>免收配套费；结合工艺特点建设地下厂房的，地下部分免收配套费。除有特殊工艺要求不宜建设多层厂房的项目外，一般项目不得建设单层厂房，违反规定建设单层厂房的，加倍征收城市基础设施配套费。</w:t>
      </w:r>
    </w:p>
    <w:p>
      <w:pPr>
        <w:pStyle w:val="BodyText"/>
        <w:spacing w:line="321" w:lineRule="auto" w:before="4"/>
        <w:ind w:left="108" w:right="389" w:firstLine="643"/>
      </w:pPr>
      <w:r>
        <w:rPr/>
        <w:t>（六）东城新区范围内的建设项目，按县政府有关政策规定执行。</w:t>
      </w:r>
    </w:p>
    <w:p>
      <w:pPr>
        <w:pStyle w:val="BodyText"/>
        <w:spacing w:line="321" w:lineRule="auto" w:before="3"/>
        <w:ind w:left="108" w:right="386" w:firstLine="643"/>
        <w:jc w:val="both"/>
      </w:pPr>
      <w:r>
        <w:rPr>
          <w:rFonts w:ascii="楷体_GB2312" w:eastAsia="楷体_GB2312" w:hint="eastAsia"/>
        </w:rPr>
        <w:t>第十二条 </w:t>
      </w:r>
      <w:r>
        <w:rPr/>
        <w:t>如供水、供气某项配套不能实现，建设单位或个人可暂缓缴纳相应配套费，待配套设施到位后再按照配套设施到位时的供水、供气配套收费标准缴费。属于房地产开发建设项目的，应在售房合同中明确注明相关配套费用缴纳情况。建设项目不需要配备供水管道和燃气管道的，经规划、财政、住建部门审核批准后，免收相关配套费。</w:t>
      </w:r>
    </w:p>
    <w:p>
      <w:pPr>
        <w:pStyle w:val="BodyText"/>
        <w:spacing w:before="2"/>
        <w:ind w:left="751"/>
        <w:jc w:val="both"/>
      </w:pPr>
      <w:r>
        <w:rPr>
          <w:rFonts w:ascii="楷体_GB2312" w:eastAsia="楷体_GB2312" w:hint="eastAsia"/>
        </w:rPr>
        <w:t>第十三条 </w:t>
      </w:r>
      <w:r>
        <w:rPr/>
        <w:t>符合本办法规定的减征、免征城市基础设施配</w:t>
      </w:r>
    </w:p>
    <w:p>
      <w:pPr>
        <w:spacing w:after="0"/>
        <w:jc w:val="both"/>
        <w:sectPr>
          <w:pgSz w:w="11910" w:h="16840"/>
          <w:pgMar w:header="0" w:footer="1342" w:top="1580" w:bottom="1540" w:left="1480" w:right="1200"/>
        </w:sectPr>
      </w:pPr>
    </w:p>
    <w:p>
      <w:pPr>
        <w:pStyle w:val="BodyText"/>
        <w:spacing w:before="11"/>
        <w:rPr>
          <w:sz w:val="15"/>
        </w:rPr>
      </w:pPr>
    </w:p>
    <w:p>
      <w:pPr>
        <w:pStyle w:val="BodyText"/>
        <w:spacing w:line="321" w:lineRule="auto" w:before="41"/>
        <w:ind w:left="108" w:right="386"/>
        <w:jc w:val="both"/>
      </w:pPr>
      <w:r>
        <w:rPr/>
        <w:t>套费条件的建设项目，由项目建设单位向县财政部门提出书面申请，经县财政部门会同规划、住建、房管部门审核批准后执行。其他重点项目或招商引资项目需要减免的，由项目建设单位或个人按以上程序提出书面申请，由县财政部门会同规划、住建、房管部门审核报县政府批准后执行。</w:t>
      </w:r>
    </w:p>
    <w:p>
      <w:pPr>
        <w:pStyle w:val="BodyText"/>
        <w:spacing w:line="321" w:lineRule="auto" w:before="4"/>
        <w:ind w:left="108" w:right="386" w:firstLine="643"/>
        <w:jc w:val="both"/>
      </w:pPr>
      <w:r>
        <w:rPr>
          <w:rFonts w:ascii="楷体_GB2312" w:eastAsia="楷体_GB2312" w:hint="eastAsia"/>
        </w:rPr>
        <w:t>第十四条 </w:t>
      </w:r>
      <w:r>
        <w:rPr/>
        <w:t>已享受城市基础设施配套费减免政策的建设项目改变原批准用途或改变容积率的，以及违法建设项目经执法部门查处后批准保留使用的，须按本办法规定补缴城市基础设施配套费。</w:t>
      </w:r>
    </w:p>
    <w:p>
      <w:pPr>
        <w:pStyle w:val="BodyText"/>
        <w:rPr>
          <w:sz w:val="43"/>
        </w:rPr>
      </w:pPr>
    </w:p>
    <w:p>
      <w:pPr>
        <w:pStyle w:val="BodyText"/>
        <w:tabs>
          <w:tab w:pos="1279" w:val="left" w:leader="none"/>
        </w:tabs>
        <w:ind w:right="280"/>
        <w:jc w:val="center"/>
        <w:rPr>
          <w:rFonts w:ascii="黑体" w:eastAsia="黑体" w:hint="eastAsia"/>
        </w:rPr>
      </w:pPr>
      <w:r>
        <w:rPr>
          <w:rFonts w:ascii="黑体" w:eastAsia="黑体" w:hint="eastAsia"/>
        </w:rPr>
        <w:t>第四章</w:t>
        <w:tab/>
        <w:t>监督检查</w:t>
      </w:r>
    </w:p>
    <w:p>
      <w:pPr>
        <w:pStyle w:val="BodyText"/>
        <w:rPr>
          <w:rFonts w:ascii="黑体"/>
        </w:rPr>
      </w:pPr>
    </w:p>
    <w:p>
      <w:pPr>
        <w:pStyle w:val="BodyText"/>
        <w:spacing w:before="9"/>
        <w:rPr>
          <w:rFonts w:ascii="黑体"/>
          <w:sz w:val="29"/>
        </w:rPr>
      </w:pPr>
    </w:p>
    <w:p>
      <w:pPr>
        <w:pStyle w:val="BodyText"/>
        <w:spacing w:line="321" w:lineRule="auto"/>
        <w:ind w:left="108" w:right="386" w:firstLine="643"/>
        <w:jc w:val="both"/>
      </w:pPr>
      <w:r>
        <w:rPr>
          <w:rFonts w:ascii="楷体_GB2312" w:eastAsia="楷体_GB2312" w:hint="eastAsia"/>
        </w:rPr>
        <w:t>第十五条 </w:t>
      </w:r>
      <w:r>
        <w:rPr/>
        <w:t>规划、住建部门应当加大对建设项目的监督检查，对未按规足额缴纳城市基础设施配套费、办理相关手续即擅自开工建设的单位或个人，要依法严厉查处，并全额追缴城市基础设施配套费。</w:t>
      </w:r>
    </w:p>
    <w:p>
      <w:pPr>
        <w:pStyle w:val="BodyText"/>
        <w:tabs>
          <w:tab w:pos="2352" w:val="left" w:leader="none"/>
        </w:tabs>
        <w:spacing w:line="321" w:lineRule="auto" w:before="1"/>
        <w:ind w:left="108" w:right="228" w:firstLine="643"/>
      </w:pPr>
      <w:r>
        <w:rPr>
          <w:rFonts w:ascii="楷体_GB2312" w:eastAsia="楷体_GB2312" w:hint="eastAsia"/>
        </w:rPr>
        <w:t>第十六条</w:t>
        <w:tab/>
      </w:r>
      <w:r>
        <w:rPr/>
        <w:t>财政</w:t>
      </w:r>
      <w:r>
        <w:rPr>
          <w:spacing w:val="-24"/>
        </w:rPr>
        <w:t>、</w:t>
      </w:r>
      <w:r>
        <w:rPr/>
        <w:t>规划</w:t>
      </w:r>
      <w:r>
        <w:rPr>
          <w:spacing w:val="-24"/>
        </w:rPr>
        <w:t>、</w:t>
      </w:r>
      <w:r>
        <w:rPr/>
        <w:t>住建</w:t>
      </w:r>
      <w:r>
        <w:rPr>
          <w:spacing w:val="-24"/>
        </w:rPr>
        <w:t>、</w:t>
      </w:r>
      <w:r>
        <w:rPr/>
        <w:t>房管部门应按照各自职责</w:t>
      </w:r>
      <w:r>
        <w:rPr>
          <w:spacing w:val="-12"/>
        </w:rPr>
        <w:t>， </w:t>
      </w:r>
      <w:r>
        <w:rPr>
          <w:spacing w:val="5"/>
        </w:rPr>
        <w:t>相互</w:t>
      </w:r>
      <w:r>
        <w:rPr/>
        <w:t>配</w:t>
      </w:r>
      <w:r>
        <w:rPr>
          <w:spacing w:val="5"/>
        </w:rPr>
        <w:t>合，共</w:t>
      </w:r>
      <w:r>
        <w:rPr/>
        <w:t>同</w:t>
      </w:r>
      <w:r>
        <w:rPr>
          <w:spacing w:val="5"/>
        </w:rPr>
        <w:t>做好城市</w:t>
      </w:r>
      <w:r>
        <w:rPr/>
        <w:t>基</w:t>
      </w:r>
      <w:r>
        <w:rPr>
          <w:spacing w:val="5"/>
        </w:rPr>
        <w:t>础设施</w:t>
      </w:r>
      <w:r>
        <w:rPr/>
        <w:t>配</w:t>
      </w:r>
      <w:r>
        <w:rPr>
          <w:spacing w:val="5"/>
        </w:rPr>
        <w:t>套费征管</w:t>
      </w:r>
      <w:r>
        <w:rPr/>
        <w:t>工</w:t>
      </w:r>
      <w:r>
        <w:rPr>
          <w:spacing w:val="5"/>
        </w:rPr>
        <w:t>作。监</w:t>
      </w:r>
      <w:r>
        <w:rPr/>
        <w:t>察</w:t>
      </w:r>
      <w:r>
        <w:rPr>
          <w:spacing w:val="5"/>
        </w:rPr>
        <w:t>、</w:t>
      </w:r>
      <w:r>
        <w:rPr/>
        <w:t>审</w:t>
      </w:r>
      <w:r>
        <w:rPr>
          <w:spacing w:val="5"/>
        </w:rPr>
        <w:t>计、</w:t>
      </w:r>
      <w:r>
        <w:rPr/>
        <w:t>物</w:t>
      </w:r>
      <w:r>
        <w:rPr>
          <w:spacing w:val="5"/>
        </w:rPr>
        <w:t>价等部</w:t>
      </w:r>
      <w:r>
        <w:rPr/>
        <w:t>门</w:t>
      </w:r>
      <w:r>
        <w:rPr>
          <w:spacing w:val="5"/>
        </w:rPr>
        <w:t>要按照各</w:t>
      </w:r>
      <w:r>
        <w:rPr/>
        <w:t>自</w:t>
      </w:r>
      <w:r>
        <w:rPr>
          <w:spacing w:val="5"/>
        </w:rPr>
        <w:t>职责，</w:t>
      </w:r>
      <w:r>
        <w:rPr/>
        <w:t>加</w:t>
      </w:r>
      <w:r>
        <w:rPr>
          <w:spacing w:val="5"/>
        </w:rPr>
        <w:t>强对城市</w:t>
      </w:r>
      <w:r>
        <w:rPr/>
        <w:t>基</w:t>
      </w:r>
      <w:r>
        <w:rPr>
          <w:spacing w:val="5"/>
        </w:rPr>
        <w:t>础设施</w:t>
      </w:r>
      <w:r>
        <w:rPr/>
        <w:t>配</w:t>
      </w:r>
      <w:r>
        <w:rPr>
          <w:spacing w:val="5"/>
        </w:rPr>
        <w:t>套</w:t>
      </w:r>
      <w:r>
        <w:rPr/>
        <w:t>费征收工作的监督管理，确保城市基础设施配套费依法征收。</w:t>
      </w:r>
    </w:p>
    <w:p>
      <w:pPr>
        <w:pStyle w:val="BodyText"/>
        <w:tabs>
          <w:tab w:pos="2371" w:val="left" w:leader="none"/>
        </w:tabs>
        <w:spacing w:line="321" w:lineRule="auto" w:before="2"/>
        <w:ind w:left="108" w:right="228" w:firstLine="643"/>
      </w:pPr>
      <w:r>
        <w:rPr>
          <w:rFonts w:ascii="楷体_GB2312" w:hAnsi="楷体_GB2312" w:eastAsia="楷体_GB2312" w:hint="eastAsia"/>
          <w:spacing w:val="5"/>
        </w:rPr>
        <w:t>第</w:t>
      </w:r>
      <w:r>
        <w:rPr>
          <w:rFonts w:ascii="楷体_GB2312" w:hAnsi="楷体_GB2312" w:eastAsia="楷体_GB2312" w:hint="eastAsia"/>
        </w:rPr>
        <w:t>十</w:t>
      </w:r>
      <w:r>
        <w:rPr>
          <w:rFonts w:ascii="楷体_GB2312" w:hAnsi="楷体_GB2312" w:eastAsia="楷体_GB2312" w:hint="eastAsia"/>
          <w:spacing w:val="5"/>
        </w:rPr>
        <w:t>七</w:t>
      </w:r>
      <w:r>
        <w:rPr>
          <w:rFonts w:ascii="楷体_GB2312" w:hAnsi="楷体_GB2312" w:eastAsia="楷体_GB2312" w:hint="eastAsia"/>
        </w:rPr>
        <w:t>条</w:t>
        <w:tab/>
      </w:r>
      <w:r>
        <w:rPr>
          <w:spacing w:val="5"/>
        </w:rPr>
        <w:t>财</w:t>
      </w:r>
      <w:r>
        <w:rPr/>
        <w:t>政</w:t>
      </w:r>
      <w:r>
        <w:rPr>
          <w:spacing w:val="5"/>
        </w:rPr>
        <w:t>、规划</w:t>
      </w:r>
      <w:r>
        <w:rPr/>
        <w:t>、</w:t>
      </w:r>
      <w:r>
        <w:rPr>
          <w:spacing w:val="5"/>
        </w:rPr>
        <w:t>住建、</w:t>
      </w:r>
      <w:r>
        <w:rPr/>
        <w:t>房</w:t>
      </w:r>
      <w:r>
        <w:rPr>
          <w:spacing w:val="5"/>
        </w:rPr>
        <w:t>管等部</w:t>
      </w:r>
      <w:r>
        <w:rPr/>
        <w:t>门</w:t>
      </w:r>
      <w:r>
        <w:rPr>
          <w:spacing w:val="5"/>
        </w:rPr>
        <w:t>工作人</w:t>
      </w:r>
      <w:r>
        <w:rPr/>
        <w:t>员</w:t>
      </w:r>
      <w:r>
        <w:rPr>
          <w:spacing w:val="5"/>
        </w:rPr>
        <w:t>在</w:t>
      </w:r>
      <w:r>
        <w:rPr/>
        <w:t>城</w:t>
      </w:r>
      <w:r>
        <w:rPr>
          <w:w w:val="95"/>
        </w:rPr>
        <w:t>市基础设施配套费征收管理工作中</w:t>
      </w:r>
      <w:r>
        <w:rPr>
          <w:spacing w:val="-36"/>
          <w:w w:val="95"/>
        </w:rPr>
        <w:t>，</w:t>
      </w:r>
      <w:r>
        <w:rPr>
          <w:w w:val="95"/>
        </w:rPr>
        <w:t>要严格执</w:t>
      </w:r>
      <w:r>
        <w:rPr>
          <w:spacing w:val="-34"/>
          <w:w w:val="95"/>
        </w:rPr>
        <w:t>行</w:t>
      </w:r>
      <w:r>
        <w:rPr>
          <w:w w:val="95"/>
        </w:rPr>
        <w:t>“三控一帐户”</w:t>
      </w:r>
    </w:p>
    <w:p>
      <w:pPr>
        <w:spacing w:after="0" w:line="321" w:lineRule="auto"/>
        <w:sectPr>
          <w:pgSz w:w="11910" w:h="16840"/>
          <w:pgMar w:header="0" w:footer="1342" w:top="1580" w:bottom="1540" w:left="1480" w:right="1200"/>
        </w:sectPr>
      </w:pPr>
    </w:p>
    <w:p>
      <w:pPr>
        <w:pStyle w:val="BodyText"/>
        <w:spacing w:before="11"/>
        <w:rPr>
          <w:sz w:val="15"/>
        </w:rPr>
      </w:pPr>
    </w:p>
    <w:p>
      <w:pPr>
        <w:pStyle w:val="BodyText"/>
        <w:spacing w:line="321" w:lineRule="auto" w:before="41"/>
        <w:ind w:left="108" w:right="386"/>
        <w:jc w:val="both"/>
      </w:pPr>
      <w:r>
        <w:rPr/>
        <w:t>管理规定。对违反本办法规定，玩忽职守、徇私舞弊、滥用职权、擅自减免造成政府非税收入流失的，依法追究有关人员的责任；构成犯罪的，依法追究刑事责任。</w:t>
      </w:r>
    </w:p>
    <w:p>
      <w:pPr>
        <w:pStyle w:val="BodyText"/>
        <w:spacing w:line="321" w:lineRule="auto" w:before="4"/>
        <w:ind w:left="108" w:right="386" w:firstLine="643"/>
        <w:jc w:val="both"/>
      </w:pPr>
      <w:r>
        <w:rPr>
          <w:rFonts w:ascii="楷体_GB2312" w:eastAsia="楷体_GB2312" w:hint="eastAsia"/>
        </w:rPr>
        <w:t>第十八条 </w:t>
      </w:r>
      <w:r>
        <w:rPr/>
        <w:t>当事人对规划、住建等行政主管部门依据本办法作出的具体行政行为不服的，可依法申请行政复议或提起行政诉讼。</w:t>
      </w:r>
    </w:p>
    <w:p>
      <w:pPr>
        <w:pStyle w:val="BodyText"/>
        <w:spacing w:before="13"/>
        <w:rPr>
          <w:sz w:val="42"/>
        </w:rPr>
      </w:pPr>
    </w:p>
    <w:p>
      <w:pPr>
        <w:pStyle w:val="BodyText"/>
        <w:tabs>
          <w:tab w:pos="1279" w:val="left" w:leader="none"/>
          <w:tab w:pos="1919" w:val="left" w:leader="none"/>
        </w:tabs>
        <w:ind w:right="277"/>
        <w:jc w:val="center"/>
        <w:rPr>
          <w:rFonts w:ascii="黑体" w:eastAsia="黑体" w:hint="eastAsia"/>
        </w:rPr>
      </w:pPr>
      <w:r>
        <w:rPr>
          <w:rFonts w:ascii="黑体" w:eastAsia="黑体" w:hint="eastAsia"/>
        </w:rPr>
        <w:t>第五章</w:t>
        <w:tab/>
        <w:t>附</w:t>
        <w:tab/>
        <w:t>则</w:t>
      </w:r>
    </w:p>
    <w:p>
      <w:pPr>
        <w:pStyle w:val="BodyText"/>
        <w:rPr>
          <w:rFonts w:ascii="黑体"/>
        </w:rPr>
      </w:pPr>
    </w:p>
    <w:p>
      <w:pPr>
        <w:pStyle w:val="BodyText"/>
        <w:spacing w:before="9"/>
        <w:rPr>
          <w:rFonts w:ascii="黑体"/>
          <w:sz w:val="29"/>
        </w:rPr>
      </w:pPr>
    </w:p>
    <w:p>
      <w:pPr>
        <w:pStyle w:val="BodyText"/>
        <w:tabs>
          <w:tab w:pos="2352" w:val="left" w:leader="none"/>
        </w:tabs>
        <w:ind w:left="751"/>
      </w:pPr>
      <w:r>
        <w:rPr>
          <w:rFonts w:ascii="楷体_GB2312" w:eastAsia="楷体_GB2312" w:hint="eastAsia"/>
        </w:rPr>
        <w:t>第十九条</w:t>
        <w:tab/>
      </w:r>
      <w:r>
        <w:rPr/>
        <w:t>本办法</w:t>
      </w:r>
      <w:r>
        <w:rPr>
          <w:spacing w:val="48"/>
        </w:rPr>
        <w:t>自</w:t>
      </w:r>
      <w:r>
        <w:rPr/>
        <w:t>2017</w:t>
      </w:r>
      <w:r>
        <w:rPr>
          <w:spacing w:val="-116"/>
        </w:rPr>
        <w:t> </w:t>
      </w:r>
      <w:r>
        <w:rPr>
          <w:spacing w:val="45"/>
        </w:rPr>
        <w:t>年</w:t>
      </w:r>
      <w:r>
        <w:rPr/>
        <w:t>11</w:t>
      </w:r>
      <w:r>
        <w:rPr>
          <w:spacing w:val="-114"/>
        </w:rPr>
        <w:t> </w:t>
      </w:r>
      <w:r>
        <w:rPr>
          <w:spacing w:val="45"/>
        </w:rPr>
        <w:t>月</w:t>
      </w:r>
      <w:r>
        <w:rPr/>
        <w:t>1</w:t>
      </w:r>
      <w:r>
        <w:rPr>
          <w:spacing w:val="-116"/>
        </w:rPr>
        <w:t> </w:t>
      </w:r>
      <w:r>
        <w:rPr/>
        <w:t>日起施行</w:t>
      </w:r>
      <w:r>
        <w:rPr>
          <w:spacing w:val="-161"/>
        </w:rPr>
        <w:t>，</w:t>
      </w:r>
      <w:r>
        <w:rPr/>
        <w:t>有效期</w:t>
      </w:r>
      <w:r>
        <w:rPr>
          <w:spacing w:val="45"/>
        </w:rPr>
        <w:t>至</w:t>
      </w:r>
      <w:r>
        <w:rPr/>
        <w:t>2019</w:t>
      </w:r>
    </w:p>
    <w:p>
      <w:pPr>
        <w:pStyle w:val="BodyText"/>
        <w:spacing w:line="321" w:lineRule="auto" w:before="150"/>
        <w:ind w:left="108" w:right="386"/>
        <w:jc w:val="both"/>
      </w:pPr>
      <w:r>
        <w:rPr>
          <w:spacing w:val="-43"/>
        </w:rPr>
        <w:t>年 </w:t>
      </w:r>
      <w:r>
        <w:rPr/>
        <w:t>10</w:t>
      </w:r>
      <w:r>
        <w:rPr>
          <w:spacing w:val="-55"/>
        </w:rPr>
        <w:t> 月 </w:t>
      </w:r>
      <w:r>
        <w:rPr/>
        <w:t>31</w:t>
      </w:r>
      <w:r>
        <w:rPr>
          <w:spacing w:val="-16"/>
        </w:rPr>
        <w:t> 日。本办法出台前县政府其他有关政策规定与本办法相抵触的，一律按本办法规定执行。</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6"/>
        </w:rPr>
      </w:pPr>
    </w:p>
    <w:p>
      <w:pPr>
        <w:pStyle w:val="BodyText"/>
        <w:spacing w:line="20" w:lineRule="exact"/>
        <w:ind w:left="-17"/>
        <w:rPr>
          <w:sz w:val="2"/>
        </w:rPr>
      </w:pPr>
      <w:r>
        <w:rPr>
          <w:sz w:val="2"/>
        </w:rPr>
        <w:pict>
          <v:group style="width:446.4pt;height:1pt;mso-position-horizontal-relative:char;mso-position-vertical-relative:line" coordorigin="0,0" coordsize="8928,20">
            <v:line style="position:absolute" from="0,10" to="8928,10" stroked="true" strokeweight=".96pt" strokecolor="#000000">
              <v:stroke dashstyle="solid"/>
            </v:line>
          </v:group>
        </w:pict>
      </w:r>
      <w:r>
        <w:rPr>
          <w:sz w:val="2"/>
        </w:rPr>
      </w:r>
    </w:p>
    <w:p>
      <w:pPr>
        <w:tabs>
          <w:tab w:pos="5700" w:val="left" w:leader="none"/>
        </w:tabs>
        <w:spacing w:before="148"/>
        <w:ind w:left="380" w:right="0" w:firstLine="0"/>
        <w:jc w:val="left"/>
        <w:rPr>
          <w:sz w:val="28"/>
        </w:rPr>
      </w:pPr>
      <w:r>
        <w:rPr>
          <w:sz w:val="28"/>
        </w:rPr>
        <w:t>郯</w:t>
      </w:r>
      <w:r>
        <w:rPr>
          <w:spacing w:val="-3"/>
          <w:sz w:val="28"/>
        </w:rPr>
        <w:t>城</w:t>
      </w:r>
      <w:r>
        <w:rPr>
          <w:sz w:val="28"/>
        </w:rPr>
        <w:t>县人</w:t>
      </w:r>
      <w:r>
        <w:rPr>
          <w:spacing w:val="-3"/>
          <w:sz w:val="28"/>
        </w:rPr>
        <w:t>民</w:t>
      </w:r>
      <w:r>
        <w:rPr>
          <w:sz w:val="28"/>
        </w:rPr>
        <w:t>政府</w:t>
      </w:r>
      <w:r>
        <w:rPr>
          <w:spacing w:val="-3"/>
          <w:sz w:val="28"/>
        </w:rPr>
        <w:t>办</w:t>
      </w:r>
      <w:r>
        <w:rPr>
          <w:sz w:val="28"/>
        </w:rPr>
        <w:t>公室</w:t>
        <w:tab/>
        <w:t>2017</w:t>
      </w:r>
      <w:r>
        <w:rPr>
          <w:spacing w:val="-74"/>
          <w:sz w:val="28"/>
        </w:rPr>
        <w:t> </w:t>
      </w:r>
      <w:r>
        <w:rPr>
          <w:sz w:val="28"/>
        </w:rPr>
        <w:t>年</w:t>
      </w:r>
      <w:r>
        <w:rPr>
          <w:spacing w:val="-71"/>
          <w:sz w:val="28"/>
        </w:rPr>
        <w:t> </w:t>
      </w:r>
      <w:r>
        <w:rPr>
          <w:sz w:val="28"/>
        </w:rPr>
        <w:t>10</w:t>
      </w:r>
      <w:r>
        <w:rPr>
          <w:spacing w:val="-73"/>
          <w:sz w:val="28"/>
        </w:rPr>
        <w:t> </w:t>
      </w:r>
      <w:r>
        <w:rPr>
          <w:sz w:val="28"/>
        </w:rPr>
        <w:t>月</w:t>
      </w:r>
      <w:r>
        <w:rPr>
          <w:spacing w:val="-70"/>
          <w:sz w:val="28"/>
        </w:rPr>
        <w:t> </w:t>
      </w:r>
      <w:r>
        <w:rPr>
          <w:sz w:val="28"/>
        </w:rPr>
        <w:t>9</w:t>
      </w:r>
      <w:r>
        <w:rPr>
          <w:spacing w:val="-70"/>
          <w:sz w:val="28"/>
        </w:rPr>
        <w:t> </w:t>
      </w:r>
      <w:r>
        <w:rPr>
          <w:sz w:val="28"/>
        </w:rPr>
        <w:t>日</w:t>
      </w:r>
      <w:r>
        <w:rPr>
          <w:spacing w:val="-3"/>
          <w:sz w:val="28"/>
        </w:rPr>
        <w:t>印</w:t>
      </w:r>
      <w:r>
        <w:rPr>
          <w:sz w:val="28"/>
        </w:rPr>
        <w:t>发</w:t>
      </w:r>
    </w:p>
    <w:p>
      <w:pPr>
        <w:pStyle w:val="BodyText"/>
        <w:spacing w:before="10"/>
        <w:rPr>
          <w:sz w:val="10"/>
        </w:rPr>
      </w:pPr>
    </w:p>
    <w:p>
      <w:pPr>
        <w:pStyle w:val="BodyText"/>
        <w:spacing w:line="20" w:lineRule="exact"/>
        <w:ind w:left="-17"/>
        <w:rPr>
          <w:sz w:val="2"/>
        </w:rPr>
      </w:pPr>
      <w:r>
        <w:rPr>
          <w:sz w:val="2"/>
        </w:rPr>
        <w:pict>
          <v:group style="width:446.4pt;height:1pt;mso-position-horizontal-relative:char;mso-position-vertical-relative:line" coordorigin="0,0" coordsize="8928,20">
            <v:line style="position:absolute" from="0,10" to="8928,10" stroked="true" strokeweight=".96pt" strokecolor="#000000">
              <v:stroke dashstyle="solid"/>
            </v:line>
          </v:group>
        </w:pict>
      </w:r>
      <w:r>
        <w:rPr>
          <w:sz w:val="2"/>
        </w:rPr>
      </w:r>
    </w:p>
    <w:p>
      <w:pPr>
        <w:spacing w:after="0" w:line="20" w:lineRule="exact"/>
        <w:rPr>
          <w:sz w:val="2"/>
        </w:rPr>
        <w:sectPr>
          <w:pgSz w:w="11910" w:h="16840"/>
          <w:pgMar w:header="0" w:footer="1342" w:top="1580" w:bottom="1540" w:left="1480" w:right="1200"/>
        </w:sectPr>
      </w:pPr>
    </w:p>
    <w:p>
      <w:pPr>
        <w:pStyle w:val="BodyText"/>
        <w:rPr>
          <w:sz w:val="20"/>
        </w:rPr>
      </w:pPr>
    </w:p>
    <w:p>
      <w:pPr>
        <w:pStyle w:val="BodyText"/>
        <w:spacing w:before="3"/>
        <w:rPr>
          <w:sz w:val="13"/>
        </w:rPr>
      </w:pPr>
    </w:p>
    <w:p>
      <w:pPr>
        <w:pStyle w:val="BodyText"/>
        <w:spacing w:before="54"/>
        <w:ind w:left="108"/>
        <w:rPr>
          <w:rFonts w:ascii="黑体"/>
        </w:rPr>
      </w:pPr>
      <w:r>
        <w:rPr>
          <w:rFonts w:ascii="黑体"/>
        </w:rPr>
        <w:t>TCDR-2017-002005</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11"/>
        <w:rPr>
          <w:rFonts w:ascii="黑体"/>
          <w:sz w:val="29"/>
        </w:rPr>
      </w:pPr>
      <w:r>
        <w:rPr/>
        <w:drawing>
          <wp:anchor distT="0" distB="0" distL="0" distR="0" allowOverlap="1" layoutInCell="1" locked="0" behindDoc="0" simplePos="0" relativeHeight="5">
            <wp:simplePos x="0" y="0"/>
            <wp:positionH relativeFrom="page">
              <wp:posOffset>1479054</wp:posOffset>
            </wp:positionH>
            <wp:positionV relativeFrom="paragraph">
              <wp:posOffset>278628</wp:posOffset>
            </wp:positionV>
            <wp:extent cx="1523390" cy="928687"/>
            <wp:effectExtent l="0" t="0" r="0" b="0"/>
            <wp:wrapTopAndBottom/>
            <wp:docPr id="3" name="image7.png"/>
            <wp:cNvGraphicFramePr>
              <a:graphicFrameLocks noChangeAspect="1"/>
            </wp:cNvGraphicFramePr>
            <a:graphic>
              <a:graphicData uri="http://schemas.openxmlformats.org/drawingml/2006/picture">
                <pic:pic>
                  <pic:nvPicPr>
                    <pic:cNvPr id="4" name="image7.png"/>
                    <pic:cNvPicPr/>
                  </pic:nvPicPr>
                  <pic:blipFill>
                    <a:blip r:embed="rId13" cstate="print"/>
                    <a:stretch>
                      <a:fillRect/>
                    </a:stretch>
                  </pic:blipFill>
                  <pic:spPr>
                    <a:xfrm>
                      <a:off x="0" y="0"/>
                      <a:ext cx="1523390" cy="928687"/>
                    </a:xfrm>
                    <a:prstGeom prst="rect">
                      <a:avLst/>
                    </a:prstGeom>
                  </pic:spPr>
                </pic:pic>
              </a:graphicData>
            </a:graphic>
          </wp:anchor>
        </w:drawing>
      </w:r>
      <w:r>
        <w:rPr/>
        <w:pict>
          <v:group style="position:absolute;margin-left:240.516006pt;margin-top:21.089281pt;width:238.5pt;height:74.350pt;mso-position-horizontal-relative:page;mso-position-vertical-relative:paragraph;z-index:-251652096;mso-wrap-distance-left:0;mso-wrap-distance-right:0" coordorigin="4810,422" coordsize="4770,1487">
            <v:shape style="position:absolute;left:4810;top:421;width:2331;height:1487" type="#_x0000_t75" stroked="false">
              <v:imagedata r:id="rId14" o:title=""/>
            </v:shape>
            <v:shape style="position:absolute;left:7196;top:447;width:551;height:1402" type="#_x0000_t75" stroked="false">
              <v:imagedata r:id="rId15" o:title=""/>
            </v:shape>
            <v:shape style="position:absolute;left:7790;top:424;width:1789;height:1479" type="#_x0000_t75" stroked="false">
              <v:imagedata r:id="rId16" o:title=""/>
            </v:shape>
            <w10:wrap type="topAndBottom"/>
          </v:group>
        </w:pict>
      </w: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3"/>
        <w:rPr>
          <w:rFonts w:ascii="黑体"/>
          <w:sz w:val="15"/>
        </w:rPr>
      </w:pPr>
    </w:p>
    <w:p>
      <w:pPr>
        <w:pStyle w:val="BodyText"/>
        <w:spacing w:before="41"/>
        <w:ind w:left="674" w:right="949"/>
        <w:jc w:val="center"/>
      </w:pPr>
      <w:r>
        <w:rPr/>
        <w:t>郯政办发〔2017〕23 号</w:t>
      </w:r>
    </w:p>
    <w:p>
      <w:pPr>
        <w:pStyle w:val="BodyText"/>
        <w:rPr>
          <w:sz w:val="20"/>
        </w:rPr>
      </w:pPr>
    </w:p>
    <w:p>
      <w:pPr>
        <w:pStyle w:val="BodyText"/>
        <w:spacing w:before="13"/>
        <w:rPr>
          <w:sz w:val="11"/>
        </w:rPr>
      </w:pPr>
      <w:r>
        <w:rPr/>
        <w:pict>
          <v:line style="position:absolute;mso-position-horizontal-relative:page;mso-position-vertical-relative:paragraph;z-index:-251651072;mso-wrap-distance-left:0;mso-wrap-distance-right:0" from="79.400002pt,10.98975pt" to="520.400002pt,10.98975pt" stroked="true" strokeweight="1.25pt" strokecolor="#ff0000">
            <v:stroke dashstyle="solid"/>
            <w10:wrap type="topAndBottom"/>
          </v:line>
        </w:pict>
      </w:r>
    </w:p>
    <w:p>
      <w:pPr>
        <w:pStyle w:val="BodyText"/>
        <w:spacing w:before="8"/>
        <w:rPr>
          <w:sz w:val="31"/>
        </w:rPr>
      </w:pPr>
    </w:p>
    <w:p>
      <w:pPr>
        <w:pStyle w:val="Heading1"/>
        <w:spacing w:line="670" w:lineRule="exact"/>
      </w:pPr>
      <w:r>
        <w:rPr/>
        <w:t>郯城县人民政府办公室</w:t>
      </w:r>
    </w:p>
    <w:p>
      <w:pPr>
        <w:spacing w:line="172" w:lineRule="auto" w:before="38"/>
        <w:ind w:left="732" w:right="1013" w:firstLine="0"/>
        <w:jc w:val="center"/>
        <w:rPr>
          <w:rFonts w:ascii="方正小标宋简体" w:eastAsia="方正小标宋简体" w:hint="eastAsia"/>
          <w:sz w:val="44"/>
        </w:rPr>
      </w:pPr>
      <w:r>
        <w:rPr>
          <w:rFonts w:ascii="方正小标宋简体" w:eastAsia="方正小标宋简体" w:hint="eastAsia"/>
          <w:sz w:val="44"/>
        </w:rPr>
        <w:t>关于印发《郯城县有突出贡献的中青年专家选拔管理办法》的通知</w:t>
      </w:r>
    </w:p>
    <w:p>
      <w:pPr>
        <w:pStyle w:val="BodyText"/>
        <w:spacing w:before="4"/>
        <w:rPr>
          <w:rFonts w:ascii="方正小标宋简体"/>
          <w:sz w:val="33"/>
        </w:rPr>
      </w:pPr>
    </w:p>
    <w:p>
      <w:pPr>
        <w:pStyle w:val="BodyText"/>
        <w:spacing w:line="321" w:lineRule="auto"/>
        <w:ind w:left="108" w:right="386"/>
        <w:jc w:val="both"/>
      </w:pPr>
      <w:r>
        <w:rPr/>
        <w:t>各乡镇人民政府、郯城街道办事处，县政府各部门，科级以上事业单位，省、县直驻郯各单位，郯城经济开发区管委会，马陵山景区管委会，新村银杏产业开发区管委会：</w:t>
      </w:r>
    </w:p>
    <w:p>
      <w:pPr>
        <w:pStyle w:val="BodyText"/>
        <w:spacing w:line="321" w:lineRule="auto" w:before="1"/>
        <w:ind w:left="108" w:right="389" w:firstLine="638"/>
      </w:pPr>
      <w:r>
        <w:rPr>
          <w:spacing w:val="1"/>
          <w:w w:val="95"/>
        </w:rPr>
        <w:t>《郯城县有突出贡献的中青年专家选拔管理办法》已经县 </w:t>
      </w:r>
      <w:r>
        <w:rPr/>
        <w:t>政府研究同意，现印发给你们，请认真贯彻执行。</w:t>
      </w:r>
    </w:p>
    <w:p>
      <w:pPr>
        <w:pStyle w:val="BodyText"/>
        <w:spacing w:before="13"/>
        <w:rPr>
          <w:sz w:val="42"/>
        </w:rPr>
      </w:pPr>
    </w:p>
    <w:p>
      <w:pPr>
        <w:pStyle w:val="BodyText"/>
        <w:ind w:left="5228"/>
      </w:pPr>
      <w:r>
        <w:rPr/>
        <w:t>郯城县人民政府办公室</w:t>
      </w:r>
    </w:p>
    <w:p>
      <w:pPr>
        <w:spacing w:after="0"/>
        <w:sectPr>
          <w:footerReference w:type="default" r:id="rId12"/>
          <w:pgSz w:w="11910" w:h="16840"/>
          <w:pgMar w:footer="1342" w:header="0" w:top="1580" w:bottom="1540" w:left="1480" w:right="1200"/>
          <w:pgNumType w:start="10"/>
        </w:sectPr>
      </w:pPr>
    </w:p>
    <w:p>
      <w:pPr>
        <w:pStyle w:val="BodyText"/>
        <w:spacing w:before="11"/>
        <w:rPr>
          <w:sz w:val="15"/>
        </w:rPr>
      </w:pPr>
    </w:p>
    <w:p>
      <w:pPr>
        <w:pStyle w:val="BodyText"/>
        <w:spacing w:line="406" w:lineRule="exact" w:before="41"/>
        <w:ind w:left="5547"/>
      </w:pPr>
      <w:r>
        <w:rPr/>
        <w:t>2017</w:t>
      </w:r>
      <w:r>
        <w:rPr>
          <w:spacing w:val="-54"/>
        </w:rPr>
        <w:t> 年 </w:t>
      </w:r>
      <w:r>
        <w:rPr/>
        <w:t>11</w:t>
      </w:r>
      <w:r>
        <w:rPr>
          <w:spacing w:val="-53"/>
        </w:rPr>
        <w:t> 月 </w:t>
      </w:r>
      <w:r>
        <w:rPr/>
        <w:t>15</w:t>
      </w:r>
      <w:r>
        <w:rPr>
          <w:spacing w:val="-40"/>
        </w:rPr>
        <w:t> 日</w:t>
      </w:r>
    </w:p>
    <w:p>
      <w:pPr>
        <w:pStyle w:val="Heading1"/>
        <w:spacing w:line="172" w:lineRule="auto" w:before="105"/>
        <w:ind w:left="1428" w:right="1637"/>
      </w:pPr>
      <w:r>
        <w:rPr/>
        <w:t>郯城县有突出贡献的中青年专家选拔管理办法</w:t>
      </w:r>
    </w:p>
    <w:p>
      <w:pPr>
        <w:pStyle w:val="BodyText"/>
        <w:spacing w:before="15"/>
        <w:rPr>
          <w:rFonts w:ascii="方正小标宋简体"/>
          <w:sz w:val="34"/>
        </w:rPr>
      </w:pPr>
    </w:p>
    <w:p>
      <w:pPr>
        <w:pStyle w:val="BodyText"/>
        <w:tabs>
          <w:tab w:pos="1291" w:val="left" w:leader="none"/>
        </w:tabs>
        <w:ind w:right="280"/>
        <w:jc w:val="center"/>
        <w:rPr>
          <w:rFonts w:ascii="黑体" w:eastAsia="黑体" w:hint="eastAsia"/>
        </w:rPr>
      </w:pPr>
      <w:r>
        <w:rPr>
          <w:rFonts w:ascii="黑体" w:eastAsia="黑体" w:hint="eastAsia"/>
        </w:rPr>
        <w:t>第一章</w:t>
        <w:tab/>
        <w:t>总则</w:t>
      </w:r>
    </w:p>
    <w:p>
      <w:pPr>
        <w:pStyle w:val="BodyText"/>
        <w:rPr>
          <w:rFonts w:ascii="黑体"/>
        </w:rPr>
      </w:pPr>
    </w:p>
    <w:p>
      <w:pPr>
        <w:pStyle w:val="BodyText"/>
        <w:spacing w:before="6"/>
        <w:rPr>
          <w:rFonts w:ascii="黑体"/>
          <w:sz w:val="23"/>
        </w:rPr>
      </w:pPr>
    </w:p>
    <w:p>
      <w:pPr>
        <w:pStyle w:val="BodyText"/>
        <w:spacing w:line="300" w:lineRule="auto"/>
        <w:ind w:left="108" w:right="384" w:firstLine="638"/>
        <w:jc w:val="both"/>
      </w:pPr>
      <w:r>
        <w:rPr>
          <w:rFonts w:ascii="楷体_GB2312" w:hAnsi="楷体_GB2312" w:eastAsia="楷体_GB2312" w:hint="eastAsia"/>
          <w:spacing w:val="41"/>
        </w:rPr>
        <w:t>第一条 </w:t>
      </w:r>
      <w:r>
        <w:rPr/>
        <w:t>为推动“人才强县”战略的实施，进一步营造尊</w:t>
      </w:r>
      <w:r>
        <w:rPr>
          <w:spacing w:val="-1"/>
        </w:rPr>
        <w:t>重劳动、尊重知识、尊重人才、尊重创造的社会环境，充分调动广大专业技术人员的积极性，更好地为我县经济和社会发展</w:t>
      </w:r>
      <w:r>
        <w:rPr>
          <w:spacing w:val="-18"/>
          <w:w w:val="95"/>
        </w:rPr>
        <w:t>服务，根据《临沂市有突出贡献的中青年专家选拔管理办法</w:t>
      </w:r>
      <w:r>
        <w:rPr>
          <w:spacing w:val="-283"/>
          <w:w w:val="95"/>
        </w:rPr>
        <w:t>》</w:t>
      </w:r>
      <w:r>
        <w:rPr>
          <w:w w:val="95"/>
        </w:rPr>
        <w:t>（临 </w:t>
      </w:r>
      <w:r>
        <w:rPr>
          <w:spacing w:val="3"/>
        </w:rPr>
        <w:t>政办发〔</w:t>
      </w:r>
      <w:r>
        <w:rPr/>
        <w:t>2013</w:t>
      </w:r>
      <w:r>
        <w:rPr>
          <w:spacing w:val="5"/>
        </w:rPr>
        <w:t>〕</w:t>
      </w:r>
      <w:r>
        <w:rPr/>
        <w:t>27</w:t>
      </w:r>
      <w:r>
        <w:rPr>
          <w:spacing w:val="-43"/>
        </w:rPr>
        <w:t> 号</w:t>
      </w:r>
      <w:r>
        <w:rPr>
          <w:spacing w:val="-156"/>
        </w:rPr>
        <w:t>）</w:t>
      </w:r>
      <w:r>
        <w:rPr>
          <w:spacing w:val="-10"/>
        </w:rPr>
        <w:t>、《山东省有突出贡献的中青年专家选拔</w:t>
      </w:r>
      <w:r>
        <w:rPr>
          <w:spacing w:val="-35"/>
        </w:rPr>
        <w:t>管理办法》</w:t>
      </w:r>
      <w:r>
        <w:rPr/>
        <w:t>（</w:t>
      </w:r>
      <w:r>
        <w:rPr>
          <w:spacing w:val="-4"/>
        </w:rPr>
        <w:t>鲁政办发〔</w:t>
      </w:r>
      <w:r>
        <w:rPr/>
        <w:t>2017</w:t>
      </w:r>
      <w:r>
        <w:rPr>
          <w:spacing w:val="-15"/>
        </w:rPr>
        <w:t>〕</w:t>
      </w:r>
      <w:r>
        <w:rPr/>
        <w:t>43</w:t>
      </w:r>
      <w:r>
        <w:rPr>
          <w:spacing w:val="-44"/>
        </w:rPr>
        <w:t> 号</w:t>
      </w:r>
      <w:r>
        <w:rPr>
          <w:spacing w:val="-15"/>
        </w:rPr>
        <w:t>）</w:t>
      </w:r>
      <w:r>
        <w:rPr>
          <w:spacing w:val="-3"/>
        </w:rPr>
        <w:t>结合我县实际，制定本办法。</w:t>
      </w:r>
    </w:p>
    <w:p>
      <w:pPr>
        <w:pStyle w:val="BodyText"/>
        <w:spacing w:line="300" w:lineRule="auto" w:before="4"/>
        <w:ind w:left="108" w:right="386" w:firstLine="638"/>
        <w:jc w:val="both"/>
      </w:pPr>
      <w:r>
        <w:rPr>
          <w:rFonts w:ascii="楷体_GB2312" w:eastAsia="楷体_GB2312" w:hint="eastAsia"/>
        </w:rPr>
        <w:t>第二条 </w:t>
      </w:r>
      <w:r>
        <w:rPr/>
        <w:t>本办法所称郯城县有突出贡献的中青年专家，是指在企业事业单位专业技术岗位上长期从事专业技术工作，在自然科学、社会科学等领域做出突出贡献的专业技术人员。</w:t>
      </w:r>
    </w:p>
    <w:p>
      <w:pPr>
        <w:pStyle w:val="BodyText"/>
        <w:spacing w:line="300" w:lineRule="auto" w:before="2"/>
        <w:ind w:left="108" w:right="386" w:firstLine="660"/>
        <w:jc w:val="both"/>
      </w:pPr>
      <w:r>
        <w:rPr>
          <w:rFonts w:ascii="楷体_GB2312" w:eastAsia="楷体_GB2312" w:hint="eastAsia"/>
        </w:rPr>
        <w:t>第三条 </w:t>
      </w:r>
      <w:r>
        <w:rPr/>
        <w:t>郯城县有突出贡献的中青年专家每年选拔一次， 每次选拔 6 名左右，管理期限为 3 年。</w:t>
      </w:r>
    </w:p>
    <w:p>
      <w:pPr>
        <w:pStyle w:val="BodyText"/>
        <w:spacing w:line="300" w:lineRule="auto" w:before="2"/>
        <w:ind w:left="108" w:right="386" w:firstLine="660"/>
        <w:jc w:val="both"/>
      </w:pPr>
      <w:r>
        <w:rPr>
          <w:rFonts w:ascii="楷体_GB2312" w:eastAsia="楷体_GB2312" w:hint="eastAsia"/>
        </w:rPr>
        <w:t>第四条 </w:t>
      </w:r>
      <w:r>
        <w:rPr/>
        <w:t>郯城县有突出贡献的中青年专家的选拔管理遵循以下原则：</w:t>
      </w:r>
    </w:p>
    <w:p>
      <w:pPr>
        <w:pStyle w:val="BodyText"/>
        <w:spacing w:line="447" w:lineRule="exact"/>
        <w:ind w:left="747"/>
      </w:pPr>
      <w:r>
        <w:rPr/>
        <w:t>（一）服务于经济建设和社会发展的原则；</w:t>
      </w:r>
    </w:p>
    <w:p>
      <w:pPr>
        <w:pStyle w:val="BodyText"/>
        <w:spacing w:before="114"/>
        <w:ind w:left="747"/>
      </w:pPr>
      <w:r>
        <w:rPr/>
        <w:t>（二）鼓励创新、促进年轻优秀人才脱颖而出的原则；</w:t>
      </w:r>
    </w:p>
    <w:p>
      <w:pPr>
        <w:pStyle w:val="BodyText"/>
        <w:spacing w:before="112"/>
        <w:ind w:left="747"/>
      </w:pPr>
      <w:r>
        <w:rPr/>
        <w:t>（三）公开、平等、竞争、择优的原则；</w:t>
      </w:r>
    </w:p>
    <w:p>
      <w:pPr>
        <w:pStyle w:val="BodyText"/>
        <w:spacing w:before="111"/>
        <w:ind w:left="747"/>
      </w:pPr>
      <w:r>
        <w:rPr/>
        <w:t>（四）以用为本、动态管理的原则。</w:t>
      </w:r>
    </w:p>
    <w:p>
      <w:pPr>
        <w:spacing w:after="0"/>
        <w:sectPr>
          <w:pgSz w:w="11910" w:h="16840"/>
          <w:pgMar w:header="0" w:footer="1342" w:top="1580" w:bottom="1540" w:left="1480" w:right="1200"/>
        </w:sectPr>
      </w:pPr>
    </w:p>
    <w:p>
      <w:pPr>
        <w:pStyle w:val="BodyText"/>
        <w:spacing w:before="9"/>
        <w:rPr>
          <w:sz w:val="12"/>
        </w:rPr>
      </w:pPr>
    </w:p>
    <w:p>
      <w:pPr>
        <w:pStyle w:val="BodyText"/>
        <w:spacing w:line="300" w:lineRule="auto" w:before="54"/>
        <w:ind w:left="108" w:right="389" w:firstLine="600"/>
        <w:jc w:val="both"/>
      </w:pPr>
      <w:r>
        <w:rPr>
          <w:rFonts w:ascii="楷体_GB2312" w:eastAsia="楷体_GB2312" w:hint="eastAsia"/>
        </w:rPr>
        <w:t>第五条 </w:t>
      </w:r>
      <w:r>
        <w:rPr/>
        <w:t>县人力资源和社会保障局负责全县有突出贡献的中青年专家的选拔评审及综合管理服务工作。</w:t>
      </w:r>
    </w:p>
    <w:p>
      <w:pPr>
        <w:pStyle w:val="BodyText"/>
        <w:spacing w:before="2"/>
        <w:rPr>
          <w:sz w:val="40"/>
        </w:rPr>
      </w:pPr>
    </w:p>
    <w:p>
      <w:pPr>
        <w:pStyle w:val="BodyText"/>
        <w:tabs>
          <w:tab w:pos="1288" w:val="left" w:leader="none"/>
        </w:tabs>
        <w:ind w:right="280"/>
        <w:jc w:val="center"/>
        <w:rPr>
          <w:rFonts w:ascii="黑体" w:eastAsia="黑体" w:hint="eastAsia"/>
        </w:rPr>
      </w:pPr>
      <w:r>
        <w:rPr>
          <w:rFonts w:ascii="黑体" w:eastAsia="黑体" w:hint="eastAsia"/>
        </w:rPr>
        <w:t>第二章</w:t>
        <w:tab/>
        <w:t>选拔条件</w:t>
      </w:r>
    </w:p>
    <w:p>
      <w:pPr>
        <w:pStyle w:val="BodyText"/>
        <w:rPr>
          <w:rFonts w:ascii="黑体"/>
        </w:rPr>
      </w:pPr>
    </w:p>
    <w:p>
      <w:pPr>
        <w:pStyle w:val="BodyText"/>
        <w:spacing w:before="6"/>
        <w:rPr>
          <w:rFonts w:ascii="黑体"/>
          <w:sz w:val="23"/>
        </w:rPr>
      </w:pPr>
    </w:p>
    <w:p>
      <w:pPr>
        <w:pStyle w:val="BodyText"/>
        <w:spacing w:line="300" w:lineRule="auto"/>
        <w:ind w:left="108" w:right="386" w:firstLine="638"/>
        <w:jc w:val="both"/>
      </w:pPr>
      <w:r>
        <w:rPr>
          <w:rFonts w:ascii="楷体_GB2312" w:eastAsia="楷体_GB2312" w:hint="eastAsia"/>
        </w:rPr>
        <w:t>第六条 </w:t>
      </w:r>
      <w:r>
        <w:rPr/>
        <w:t>郯城县有突出贡献的中青年专家的选拔条件是： 热爱祖国，坚持四项基本原则，遵纪守法，有良好的职业道德和社会公德，年龄不超过 47 周岁，并符合下列条件之一：</w:t>
      </w:r>
    </w:p>
    <w:p>
      <w:pPr>
        <w:pStyle w:val="BodyText"/>
        <w:spacing w:line="300" w:lineRule="auto" w:before="2"/>
        <w:ind w:left="108" w:right="276" w:firstLine="614"/>
        <w:jc w:val="both"/>
      </w:pPr>
      <w:r>
        <w:rPr>
          <w:spacing w:val="5"/>
        </w:rPr>
        <w:t>（</w:t>
      </w:r>
      <w:r>
        <w:rPr>
          <w:spacing w:val="7"/>
        </w:rPr>
        <w:t>一</w:t>
      </w:r>
      <w:r>
        <w:rPr>
          <w:spacing w:val="5"/>
        </w:rPr>
        <w:t>）</w:t>
      </w:r>
      <w:r>
        <w:rPr>
          <w:spacing w:val="4"/>
        </w:rPr>
        <w:t>在科学技术进步活动中做出突出贡献，获得国家科</w:t>
      </w:r>
      <w:r>
        <w:rPr/>
        <w:t>学技术奖的人员；获得省(部)级科学技术奖三等奖以上的人员； </w:t>
      </w:r>
      <w:r>
        <w:rPr>
          <w:spacing w:val="-3"/>
        </w:rPr>
        <w:t>获得市科学技术奖一等奖前 </w:t>
      </w:r>
      <w:r>
        <w:rPr/>
        <w:t>3</w:t>
      </w:r>
      <w:r>
        <w:rPr>
          <w:spacing w:val="-18"/>
        </w:rPr>
        <w:t> 位、二等奖前 </w:t>
      </w:r>
      <w:r>
        <w:rPr/>
        <w:t>2</w:t>
      </w:r>
      <w:r>
        <w:rPr>
          <w:spacing w:val="-7"/>
        </w:rPr>
        <w:t> 位、三等奖首位</w:t>
      </w:r>
      <w:r>
        <w:rPr/>
        <w:t>的人员；获得县科学技术奖一等奖首位的人员；或获得发明专利，并在本县域内取得显著经济社会效益的人员；</w:t>
      </w:r>
    </w:p>
    <w:p>
      <w:pPr>
        <w:pStyle w:val="BodyText"/>
        <w:spacing w:line="300" w:lineRule="auto" w:before="1"/>
        <w:ind w:left="108" w:right="386" w:firstLine="614"/>
        <w:jc w:val="both"/>
      </w:pPr>
      <w:r>
        <w:rPr>
          <w:spacing w:val="5"/>
          <w:w w:val="95"/>
        </w:rPr>
        <w:t>（</w:t>
      </w:r>
      <w:r>
        <w:rPr>
          <w:spacing w:val="7"/>
          <w:w w:val="95"/>
        </w:rPr>
        <w:t>二</w:t>
      </w:r>
      <w:r>
        <w:rPr>
          <w:spacing w:val="5"/>
          <w:w w:val="95"/>
        </w:rPr>
        <w:t>）</w:t>
      </w:r>
      <w:r>
        <w:rPr>
          <w:spacing w:val="4"/>
          <w:w w:val="95"/>
        </w:rPr>
        <w:t>在社会科学研究方面，研究成果有独到见解，以首 </w:t>
      </w:r>
      <w:r>
        <w:rPr>
          <w:spacing w:val="-1"/>
        </w:rPr>
        <w:t>位作者出版或发表过在学术界和社会上有较大影响的学术著作或学术论文，并是省社会科学优秀成果奖的人员，获得市社会</w:t>
      </w:r>
      <w:r>
        <w:rPr>
          <w:spacing w:val="-7"/>
        </w:rPr>
        <w:t>科学优秀成果奖一等奖前 </w:t>
      </w:r>
      <w:r>
        <w:rPr/>
        <w:t>2</w:t>
      </w:r>
      <w:r>
        <w:rPr>
          <w:spacing w:val="-10"/>
        </w:rPr>
        <w:t> 位、二等奖首位的人员；</w:t>
      </w:r>
    </w:p>
    <w:p>
      <w:pPr>
        <w:pStyle w:val="BodyText"/>
        <w:spacing w:line="300" w:lineRule="auto" w:before="4"/>
        <w:ind w:left="108" w:right="321" w:firstLine="614"/>
        <w:jc w:val="both"/>
      </w:pPr>
      <w:r>
        <w:rPr/>
        <w:t>（</w:t>
      </w:r>
      <w:r>
        <w:rPr>
          <w:spacing w:val="5"/>
        </w:rPr>
        <w:t>三</w:t>
      </w:r>
      <w:r>
        <w:rPr/>
        <w:t>）学术造诣较深,被同行公认为该学科的带头人，以首位作者出版过有较高学术价值的著作或在国内外重要学术期刊上发表过有较大影响的学术论文，或被《SCI</w:t>
      </w:r>
      <w:r>
        <w:rPr>
          <w:spacing w:val="-107"/>
        </w:rPr>
        <w:t>》、《</w:t>
      </w:r>
      <w:r>
        <w:rPr/>
        <w:t>EI》等收录， 引用率较高；</w:t>
      </w:r>
    </w:p>
    <w:p>
      <w:pPr>
        <w:pStyle w:val="BodyText"/>
        <w:spacing w:line="300" w:lineRule="auto" w:before="2"/>
        <w:ind w:left="108" w:right="386" w:firstLine="638"/>
        <w:jc w:val="both"/>
      </w:pPr>
      <w:r>
        <w:rPr>
          <w:spacing w:val="5"/>
          <w:w w:val="95"/>
        </w:rPr>
        <w:t>（四）</w:t>
      </w:r>
      <w:r>
        <w:rPr>
          <w:w w:val="95"/>
        </w:rPr>
        <w:t>在完成我县重点工程、重大科技攻关和在企业技术 </w:t>
      </w:r>
      <w:r>
        <w:rPr>
          <w:spacing w:val="-1"/>
        </w:rPr>
        <w:t>改造、引进消化高新技术中，创造性地解决了重大技术难题， </w:t>
      </w:r>
      <w:r>
        <w:rPr/>
        <w:t>并取得了显著的经济效益或社会效益；</w:t>
      </w:r>
    </w:p>
    <w:p>
      <w:pPr>
        <w:spacing w:after="0" w:line="300" w:lineRule="auto"/>
        <w:jc w:val="both"/>
        <w:sectPr>
          <w:pgSz w:w="11910" w:h="16840"/>
          <w:pgMar w:header="0" w:footer="1342" w:top="1580" w:bottom="1540" w:left="1480" w:right="1200"/>
        </w:sectPr>
      </w:pPr>
    </w:p>
    <w:p>
      <w:pPr>
        <w:pStyle w:val="BodyText"/>
        <w:spacing w:before="8"/>
        <w:rPr>
          <w:sz w:val="13"/>
        </w:rPr>
      </w:pPr>
    </w:p>
    <w:p>
      <w:pPr>
        <w:pStyle w:val="BodyText"/>
        <w:spacing w:line="300" w:lineRule="auto" w:before="41"/>
        <w:ind w:left="108" w:right="384" w:firstLine="638"/>
        <w:jc w:val="both"/>
      </w:pPr>
      <w:r>
        <w:rPr>
          <w:spacing w:val="5"/>
          <w:w w:val="95"/>
        </w:rPr>
        <w:t>（五）</w:t>
      </w:r>
      <w:r>
        <w:rPr>
          <w:w w:val="95"/>
        </w:rPr>
        <w:t>在教书育人方面成绩卓著，获得国家或省优秀教学 </w:t>
      </w:r>
      <w:r>
        <w:rPr>
          <w:spacing w:val="-11"/>
        </w:rPr>
        <w:t>成果奖，获得省(部)级奖励或称号的人员，或获得两项以上市级奖励或称号的人员；</w:t>
      </w:r>
    </w:p>
    <w:p>
      <w:pPr>
        <w:pStyle w:val="BodyText"/>
        <w:spacing w:line="300" w:lineRule="auto" w:before="2"/>
        <w:ind w:left="108" w:right="228" w:firstLine="638"/>
      </w:pPr>
      <w:r>
        <w:rPr>
          <w:spacing w:val="5"/>
        </w:rPr>
        <w:t>（六）</w:t>
      </w:r>
      <w:r>
        <w:rPr/>
        <w:t>长期从事医疗、疾病预防、计划生育工作，多次成</w:t>
      </w:r>
      <w:r>
        <w:rPr>
          <w:spacing w:val="-6"/>
          <w:w w:val="95"/>
        </w:rPr>
        <w:t>功地诊治疑难危重病症，或在较大范围多次有效地预防、控制、 </w:t>
      </w:r>
      <w:r>
        <w:rPr/>
        <w:t>消除疾病，成绩突出，有较大影响，获得市以上奖励或称号的医务人员；</w:t>
      </w:r>
    </w:p>
    <w:p>
      <w:pPr>
        <w:pStyle w:val="BodyText"/>
        <w:spacing w:line="300" w:lineRule="auto" w:before="1"/>
        <w:ind w:left="108" w:right="386" w:firstLine="638"/>
        <w:jc w:val="both"/>
      </w:pPr>
      <w:r>
        <w:rPr>
          <w:spacing w:val="5"/>
          <w:w w:val="95"/>
        </w:rPr>
        <w:t>（七）</w:t>
      </w:r>
      <w:r>
        <w:rPr>
          <w:w w:val="95"/>
        </w:rPr>
        <w:t>在农业成果转化和技术推广服务等方面做出优异成 </w:t>
      </w:r>
      <w:r>
        <w:rPr>
          <w:spacing w:val="-11"/>
        </w:rPr>
        <w:t>绩，有效地推动农业科技进步和农村经济发展，获得省(部)级丰</w:t>
      </w:r>
      <w:r>
        <w:rPr>
          <w:spacing w:val="-20"/>
        </w:rPr>
        <w:t>收计划奖三等奖以上的人员，或获得市级丰收计划奖一等奖前 </w:t>
      </w:r>
      <w:r>
        <w:rPr/>
        <w:t>3</w:t>
      </w:r>
    </w:p>
    <w:p>
      <w:pPr>
        <w:pStyle w:val="BodyText"/>
        <w:spacing w:before="2"/>
        <w:ind w:left="108"/>
        <w:jc w:val="both"/>
      </w:pPr>
      <w:r>
        <w:rPr/>
        <w:t>位、二等奖前 2 位、三等奖首位的人员；</w:t>
      </w:r>
    </w:p>
    <w:p>
      <w:pPr>
        <w:pStyle w:val="BodyText"/>
        <w:spacing w:line="300" w:lineRule="auto" w:before="114"/>
        <w:ind w:left="108" w:right="386" w:firstLine="638"/>
        <w:jc w:val="both"/>
      </w:pPr>
      <w:r>
        <w:rPr>
          <w:w w:val="95"/>
        </w:rPr>
        <w:t>（八）在信息、金融、财会、外经外贸、法律等领域，为 </w:t>
      </w:r>
      <w:r>
        <w:rPr/>
        <w:t>解决国民经济和社会发展的重大问题，做出突出成绩和特殊贡献，在本行业有较大影响，并获得市以上奖励的人员；</w:t>
      </w:r>
    </w:p>
    <w:p>
      <w:pPr>
        <w:pStyle w:val="BodyText"/>
        <w:spacing w:line="300" w:lineRule="auto" w:before="2"/>
        <w:ind w:left="108" w:right="389" w:firstLine="638"/>
      </w:pPr>
      <w:r>
        <w:rPr>
          <w:w w:val="95"/>
        </w:rPr>
        <w:t>（九）在新闻出版、文学艺术等领域，成绩卓著，是重点 </w:t>
      </w:r>
      <w:r>
        <w:rPr/>
        <w:t>学科或艺术门类的带头人；</w:t>
      </w:r>
    </w:p>
    <w:p>
      <w:pPr>
        <w:pStyle w:val="BodyText"/>
        <w:spacing w:line="302" w:lineRule="auto"/>
        <w:ind w:left="108" w:right="389" w:firstLine="638"/>
      </w:pPr>
      <w:r>
        <w:rPr>
          <w:w w:val="95"/>
        </w:rPr>
        <w:t>（十）在教练执训工作中成绩卓著，培养、输送的运动员 </w:t>
      </w:r>
      <w:r>
        <w:rPr/>
        <w:t>在国际、国内重大体育比赛中取得突出成绩的著名教练员；</w:t>
      </w:r>
    </w:p>
    <w:p>
      <w:pPr>
        <w:pStyle w:val="BodyText"/>
        <w:spacing w:line="300" w:lineRule="auto"/>
        <w:ind w:left="108" w:right="389" w:firstLine="638"/>
      </w:pPr>
      <w:r>
        <w:rPr>
          <w:w w:val="95"/>
        </w:rPr>
        <w:t>（十一）在其他专业技术工作中取得优异成绩，在同行中 </w:t>
      </w:r>
      <w:r>
        <w:rPr/>
        <w:t>享有很高声誉，并获得市以上奖励的人员。</w:t>
      </w:r>
    </w:p>
    <w:p>
      <w:pPr>
        <w:pStyle w:val="BodyText"/>
        <w:tabs>
          <w:tab w:pos="2011" w:val="left" w:leader="none"/>
        </w:tabs>
        <w:spacing w:line="300" w:lineRule="auto"/>
        <w:ind w:left="108" w:right="386" w:firstLine="595"/>
      </w:pPr>
      <w:r>
        <w:rPr>
          <w:rFonts w:ascii="楷体_GB2312" w:eastAsia="楷体_GB2312" w:hint="eastAsia"/>
          <w:spacing w:val="7"/>
        </w:rPr>
        <w:t>第七</w:t>
      </w:r>
      <w:r>
        <w:rPr>
          <w:rFonts w:ascii="楷体_GB2312" w:eastAsia="楷体_GB2312" w:hint="eastAsia"/>
        </w:rPr>
        <w:t>条</w:t>
        <w:tab/>
      </w:r>
      <w:r>
        <w:rPr>
          <w:spacing w:val="7"/>
        </w:rPr>
        <w:t>选拔</w:t>
      </w:r>
      <w:r>
        <w:rPr>
          <w:spacing w:val="5"/>
        </w:rPr>
        <w:t>时</w:t>
      </w:r>
      <w:r>
        <w:rPr>
          <w:spacing w:val="7"/>
        </w:rPr>
        <w:t>以</w:t>
      </w:r>
      <w:r>
        <w:rPr/>
        <w:t>近</w:t>
      </w:r>
      <w:r>
        <w:rPr>
          <w:spacing w:val="-84"/>
        </w:rPr>
        <w:t> </w:t>
      </w:r>
      <w:r>
        <w:rPr/>
        <w:t>3</w:t>
      </w:r>
      <w:r>
        <w:rPr>
          <w:spacing w:val="-81"/>
        </w:rPr>
        <w:t> </w:t>
      </w:r>
      <w:r>
        <w:rPr>
          <w:spacing w:val="7"/>
        </w:rPr>
        <w:t>年的</w:t>
      </w:r>
      <w:r>
        <w:rPr>
          <w:spacing w:val="5"/>
        </w:rPr>
        <w:t>工</w:t>
      </w:r>
      <w:r>
        <w:rPr>
          <w:spacing w:val="7"/>
        </w:rPr>
        <w:t>作实绩和成</w:t>
      </w:r>
      <w:r>
        <w:rPr>
          <w:spacing w:val="5"/>
        </w:rPr>
        <w:t>果</w:t>
      </w:r>
      <w:r>
        <w:rPr>
          <w:spacing w:val="7"/>
        </w:rPr>
        <w:t>为主要评</w:t>
      </w:r>
      <w:r>
        <w:rPr>
          <w:spacing w:val="5"/>
        </w:rPr>
        <w:t>选</w:t>
      </w:r>
      <w:r>
        <w:rPr/>
        <w:t>依据，兼顾长期贡献。</w:t>
      </w:r>
    </w:p>
    <w:p>
      <w:pPr>
        <w:pStyle w:val="BodyText"/>
        <w:tabs>
          <w:tab w:pos="1288" w:val="left" w:leader="none"/>
        </w:tabs>
        <w:spacing w:line="407" w:lineRule="exact"/>
        <w:ind w:right="280"/>
        <w:jc w:val="center"/>
        <w:rPr>
          <w:rFonts w:ascii="黑体" w:eastAsia="黑体" w:hint="eastAsia"/>
        </w:rPr>
      </w:pPr>
      <w:r>
        <w:rPr>
          <w:rFonts w:ascii="黑体" w:eastAsia="黑体" w:hint="eastAsia"/>
        </w:rPr>
        <w:t>第三章</w:t>
        <w:tab/>
        <w:t>选拔程序</w:t>
      </w:r>
    </w:p>
    <w:p>
      <w:pPr>
        <w:spacing w:after="0" w:line="407" w:lineRule="exact"/>
        <w:jc w:val="center"/>
        <w:rPr>
          <w:rFonts w:ascii="黑体" w:eastAsia="黑体" w:hint="eastAsia"/>
        </w:rPr>
        <w:sectPr>
          <w:pgSz w:w="11910" w:h="16840"/>
          <w:pgMar w:header="0" w:footer="1342" w:top="1580" w:bottom="1540" w:left="1480" w:right="1200"/>
        </w:sectPr>
      </w:pPr>
    </w:p>
    <w:p>
      <w:pPr>
        <w:pStyle w:val="BodyText"/>
        <w:spacing w:before="10"/>
        <w:rPr>
          <w:rFonts w:ascii="黑体"/>
          <w:sz w:val="13"/>
        </w:rPr>
      </w:pPr>
    </w:p>
    <w:p>
      <w:pPr>
        <w:pStyle w:val="BodyText"/>
        <w:tabs>
          <w:tab w:pos="2045" w:val="left" w:leader="none"/>
        </w:tabs>
        <w:spacing w:line="300" w:lineRule="auto" w:before="54"/>
        <w:ind w:left="108" w:right="386" w:firstLine="638"/>
      </w:pPr>
      <w:r>
        <w:rPr>
          <w:rFonts w:ascii="楷体_GB2312" w:eastAsia="楷体_GB2312" w:hint="eastAsia"/>
          <w:spacing w:val="5"/>
        </w:rPr>
        <w:t>第八</w:t>
      </w:r>
      <w:r>
        <w:rPr>
          <w:rFonts w:ascii="楷体_GB2312" w:eastAsia="楷体_GB2312" w:hint="eastAsia"/>
        </w:rPr>
        <w:t>条</w:t>
        <w:tab/>
      </w:r>
      <w:r>
        <w:rPr>
          <w:spacing w:val="5"/>
        </w:rPr>
        <w:t>郯城</w:t>
      </w:r>
      <w:r>
        <w:rPr/>
        <w:t>县</w:t>
      </w:r>
      <w:r>
        <w:rPr>
          <w:spacing w:val="5"/>
        </w:rPr>
        <w:t>有突出贡献</w:t>
      </w:r>
      <w:r>
        <w:rPr/>
        <w:t>的</w:t>
      </w:r>
      <w:r>
        <w:rPr>
          <w:spacing w:val="5"/>
        </w:rPr>
        <w:t>中青年专家</w:t>
      </w:r>
      <w:r>
        <w:rPr/>
        <w:t>的</w:t>
      </w:r>
      <w:r>
        <w:rPr>
          <w:spacing w:val="5"/>
        </w:rPr>
        <w:t>选拔，采取</w:t>
      </w:r>
      <w:r>
        <w:rPr>
          <w:spacing w:val="-16"/>
        </w:rPr>
        <w:t>自</w:t>
      </w:r>
      <w:r>
        <w:rPr>
          <w:spacing w:val="5"/>
        </w:rPr>
        <w:t>下而</w:t>
      </w:r>
      <w:r>
        <w:rPr/>
        <w:t>上</w:t>
      </w:r>
      <w:r>
        <w:rPr>
          <w:spacing w:val="5"/>
        </w:rPr>
        <w:t>逐级推</w:t>
      </w:r>
      <w:r>
        <w:rPr/>
        <w:t>荐</w:t>
      </w:r>
      <w:r>
        <w:rPr>
          <w:spacing w:val="5"/>
        </w:rPr>
        <w:t>、专家评</w:t>
      </w:r>
      <w:r>
        <w:rPr/>
        <w:t>审</w:t>
      </w:r>
      <w:r>
        <w:rPr>
          <w:spacing w:val="5"/>
        </w:rPr>
        <w:t>的方法</w:t>
      </w:r>
      <w:r>
        <w:rPr/>
        <w:t>进</w:t>
      </w:r>
      <w:r>
        <w:rPr>
          <w:spacing w:val="5"/>
        </w:rPr>
        <w:t>行。县直</w:t>
      </w:r>
      <w:r>
        <w:rPr/>
        <w:t>各</w:t>
      </w:r>
      <w:r>
        <w:rPr>
          <w:spacing w:val="5"/>
        </w:rPr>
        <w:t>业务主</w:t>
      </w:r>
      <w:r>
        <w:rPr/>
        <w:t>管</w:t>
      </w:r>
      <w:r>
        <w:rPr>
          <w:spacing w:val="5"/>
        </w:rPr>
        <w:t>部</w:t>
      </w:r>
      <w:r>
        <w:rPr>
          <w:spacing w:val="-14"/>
        </w:rPr>
        <w:t>门</w:t>
      </w:r>
    </w:p>
    <w:p>
      <w:pPr>
        <w:pStyle w:val="BodyText"/>
        <w:spacing w:line="300" w:lineRule="auto" w:before="2"/>
        <w:ind w:left="108" w:right="386"/>
      </w:pPr>
      <w:r>
        <w:rPr/>
        <w:t>（单位）组织实施郯城县有突出贡献的中青年专家参评人选的推荐工作。</w:t>
      </w:r>
    </w:p>
    <w:p>
      <w:pPr>
        <w:pStyle w:val="BodyText"/>
        <w:spacing w:line="300" w:lineRule="auto" w:before="2"/>
        <w:ind w:left="108" w:right="228" w:firstLine="638"/>
        <w:jc w:val="both"/>
      </w:pPr>
      <w:r>
        <w:rPr>
          <w:rFonts w:ascii="楷体_GB2312" w:eastAsia="楷体_GB2312" w:hint="eastAsia"/>
        </w:rPr>
        <w:t>第九条 </w:t>
      </w:r>
      <w:r>
        <w:rPr/>
        <w:t>各单位按照隶属关系和有关要求，向人社部门推荐人选。在推荐过程中，要认真组织同行专家评议，听取有关</w:t>
      </w:r>
      <w:r>
        <w:rPr>
          <w:w w:val="95"/>
        </w:rPr>
        <w:t>人员的意见，增加推荐工作的透明度，做到公开、公平、公正。</w:t>
      </w:r>
    </w:p>
    <w:p>
      <w:pPr>
        <w:pStyle w:val="BodyText"/>
        <w:spacing w:line="300" w:lineRule="auto" w:before="2"/>
        <w:ind w:left="108" w:right="386" w:firstLine="628"/>
        <w:jc w:val="both"/>
      </w:pPr>
      <w:r>
        <w:rPr>
          <w:rFonts w:ascii="楷体_GB2312" w:eastAsia="楷体_GB2312" w:hint="eastAsia"/>
        </w:rPr>
        <w:t>第十条 </w:t>
      </w:r>
      <w:r>
        <w:rPr/>
        <w:t>各有关部门(单位)根据选拔条件，对推荐人选进行审核，经单位主要领导审定后，将人选名单和有关材料报送县人社局。</w:t>
      </w:r>
    </w:p>
    <w:p>
      <w:pPr>
        <w:pStyle w:val="BodyText"/>
        <w:spacing w:before="2"/>
        <w:ind w:left="737"/>
        <w:jc w:val="both"/>
      </w:pPr>
      <w:r>
        <w:rPr>
          <w:rFonts w:ascii="楷体_GB2312" w:eastAsia="楷体_GB2312" w:hint="eastAsia"/>
        </w:rPr>
        <w:t>第十一条 </w:t>
      </w:r>
      <w:r>
        <w:rPr/>
        <w:t>郯城县有突出贡献的中青年专家的评审。</w:t>
      </w:r>
    </w:p>
    <w:p>
      <w:pPr>
        <w:pStyle w:val="BodyText"/>
        <w:spacing w:line="300" w:lineRule="auto" w:before="112"/>
        <w:ind w:left="108" w:right="384" w:firstLine="638"/>
        <w:jc w:val="both"/>
      </w:pPr>
      <w:r>
        <w:rPr>
          <w:spacing w:val="1"/>
          <w:w w:val="95"/>
        </w:rPr>
        <w:t>县人力资源和社会保障局组织成立郯城县有突出贡献的中 </w:t>
      </w:r>
      <w:r>
        <w:rPr>
          <w:spacing w:val="-12"/>
        </w:rPr>
        <w:t>青年专家评审委员会。评审委员会由 </w:t>
      </w:r>
      <w:r>
        <w:rPr/>
        <w:t>11-13</w:t>
      </w:r>
      <w:r>
        <w:rPr>
          <w:spacing w:val="-18"/>
        </w:rPr>
        <w:t> 名专家组成，设主任</w:t>
      </w:r>
    </w:p>
    <w:p>
      <w:pPr>
        <w:pStyle w:val="BodyText"/>
        <w:spacing w:line="447" w:lineRule="exact"/>
        <w:ind w:left="108"/>
        <w:jc w:val="both"/>
      </w:pPr>
      <w:r>
        <w:rPr>
          <w:spacing w:val="-26"/>
        </w:rPr>
        <w:t>委员 </w:t>
      </w:r>
      <w:r>
        <w:rPr/>
        <w:t>1</w:t>
      </w:r>
      <w:r>
        <w:rPr>
          <w:spacing w:val="-16"/>
        </w:rPr>
        <w:t> 人、副主任委员 </w:t>
      </w:r>
      <w:r>
        <w:rPr/>
        <w:t>2-3</w:t>
      </w:r>
      <w:r>
        <w:rPr>
          <w:spacing w:val="-4"/>
        </w:rPr>
        <w:t> 人。评审委员会下设若干专业评审</w:t>
      </w:r>
    </w:p>
    <w:p>
      <w:pPr>
        <w:pStyle w:val="BodyText"/>
        <w:spacing w:line="300" w:lineRule="auto" w:before="114"/>
        <w:ind w:left="108" w:right="386"/>
        <w:jc w:val="both"/>
      </w:pPr>
      <w:r>
        <w:rPr>
          <w:spacing w:val="-5"/>
        </w:rPr>
        <w:t>组，每个专业评审组由 </w:t>
      </w:r>
      <w:r>
        <w:rPr/>
        <w:t>3-5</w:t>
      </w:r>
      <w:r>
        <w:rPr>
          <w:spacing w:val="-6"/>
        </w:rPr>
        <w:t> 人组成，负责对推荐人选的申报材</w:t>
      </w:r>
      <w:r>
        <w:rPr>
          <w:spacing w:val="-1"/>
        </w:rPr>
        <w:t>料进行审核评议，提出评价意见。经评审委员会综合评审，采取无记名投票方式确定郯城县有突出贡献的中青年专家考察人</w:t>
      </w:r>
      <w:r>
        <w:rPr/>
        <w:t>选。</w:t>
      </w:r>
    </w:p>
    <w:p>
      <w:pPr>
        <w:pStyle w:val="BodyText"/>
        <w:spacing w:line="300" w:lineRule="auto" w:before="2"/>
        <w:ind w:left="108" w:right="386" w:firstLine="626"/>
        <w:jc w:val="both"/>
      </w:pPr>
      <w:r>
        <w:rPr>
          <w:rFonts w:ascii="楷体_GB2312" w:eastAsia="楷体_GB2312" w:hint="eastAsia"/>
        </w:rPr>
        <w:t>第十二条 </w:t>
      </w:r>
      <w:r>
        <w:rPr/>
        <w:t>县人力资源和社会保障局组织对评审委员会确</w:t>
      </w:r>
      <w:r>
        <w:rPr>
          <w:w w:val="95"/>
        </w:rPr>
        <w:t>定的郯城县有突出贡献的中青年专家考察人选名单予以公示</w:t>
      </w:r>
    </w:p>
    <w:p>
      <w:pPr>
        <w:pStyle w:val="BodyText"/>
        <w:spacing w:before="2"/>
        <w:ind w:left="108"/>
        <w:jc w:val="both"/>
      </w:pPr>
      <w:r>
        <w:rPr>
          <w:w w:val="99"/>
        </w:rPr>
        <w:t>（公示期为</w:t>
      </w:r>
      <w:r>
        <w:rPr>
          <w:spacing w:val="-79"/>
        </w:rPr>
        <w:t> </w:t>
      </w:r>
      <w:r>
        <w:rPr>
          <w:spacing w:val="-1"/>
          <w:w w:val="99"/>
        </w:rPr>
        <w:t>1</w:t>
      </w:r>
      <w:r>
        <w:rPr>
          <w:w w:val="99"/>
        </w:rPr>
        <w:t>0</w:t>
      </w:r>
      <w:r>
        <w:rPr>
          <w:spacing w:val="-79"/>
        </w:rPr>
        <w:t> </w:t>
      </w:r>
      <w:r>
        <w:rPr>
          <w:w w:val="99"/>
        </w:rPr>
        <w:t>天</w:t>
      </w:r>
      <w:r>
        <w:rPr>
          <w:spacing w:val="-159"/>
          <w:w w:val="99"/>
        </w:rPr>
        <w:t>）</w:t>
      </w:r>
      <w:r>
        <w:rPr>
          <w:w w:val="99"/>
        </w:rPr>
        <w:t>，进行考察。</w:t>
      </w:r>
    </w:p>
    <w:p>
      <w:pPr>
        <w:pStyle w:val="BodyText"/>
        <w:spacing w:line="300" w:lineRule="auto" w:before="111"/>
        <w:ind w:left="108" w:right="386" w:firstLine="643"/>
        <w:jc w:val="both"/>
      </w:pPr>
      <w:r>
        <w:rPr>
          <w:rFonts w:ascii="楷体_GB2312" w:eastAsia="楷体_GB2312" w:hint="eastAsia"/>
        </w:rPr>
        <w:t>第十三条 </w:t>
      </w:r>
      <w:r>
        <w:rPr/>
        <w:t>经公示无异议，报县政府批准后，予以通报表彰，颁发《郯城县有突出贡献的中青年专家》证书，并按本办法的有关规定纳入管理范围。</w:t>
      </w:r>
    </w:p>
    <w:p>
      <w:pPr>
        <w:spacing w:after="0" w:line="300" w:lineRule="auto"/>
        <w:jc w:val="both"/>
        <w:sectPr>
          <w:pgSz w:w="11910" w:h="16840"/>
          <w:pgMar w:header="0" w:footer="1342" w:top="1580" w:bottom="1540" w:left="1480" w:right="1200"/>
        </w:sectPr>
      </w:pPr>
    </w:p>
    <w:p>
      <w:pPr>
        <w:pStyle w:val="BodyText"/>
        <w:rPr>
          <w:sz w:val="20"/>
        </w:rPr>
      </w:pPr>
    </w:p>
    <w:p>
      <w:pPr>
        <w:pStyle w:val="BodyText"/>
        <w:rPr>
          <w:sz w:val="20"/>
        </w:rPr>
      </w:pPr>
    </w:p>
    <w:p>
      <w:pPr>
        <w:pStyle w:val="BodyText"/>
        <w:tabs>
          <w:tab w:pos="1288" w:val="left" w:leader="none"/>
        </w:tabs>
        <w:spacing w:before="233"/>
        <w:ind w:right="277"/>
        <w:jc w:val="center"/>
        <w:rPr>
          <w:rFonts w:ascii="黑体" w:eastAsia="黑体" w:hint="eastAsia"/>
        </w:rPr>
      </w:pPr>
      <w:r>
        <w:rPr>
          <w:rFonts w:ascii="黑体" w:eastAsia="黑体" w:hint="eastAsia"/>
        </w:rPr>
        <w:t>第四章</w:t>
        <w:tab/>
        <w:t>工作生活待遇</w:t>
      </w:r>
    </w:p>
    <w:p>
      <w:pPr>
        <w:pStyle w:val="BodyText"/>
        <w:rPr>
          <w:rFonts w:ascii="黑体"/>
        </w:rPr>
      </w:pPr>
    </w:p>
    <w:p>
      <w:pPr>
        <w:pStyle w:val="BodyText"/>
        <w:spacing w:before="3"/>
        <w:rPr>
          <w:rFonts w:ascii="黑体"/>
          <w:sz w:val="23"/>
        </w:rPr>
      </w:pPr>
    </w:p>
    <w:p>
      <w:pPr>
        <w:pStyle w:val="BodyText"/>
        <w:tabs>
          <w:tab w:pos="2369" w:val="left" w:leader="none"/>
        </w:tabs>
        <w:spacing w:line="300" w:lineRule="auto" w:before="1"/>
        <w:ind w:left="108" w:right="386" w:firstLine="638"/>
      </w:pPr>
      <w:r>
        <w:rPr>
          <w:rFonts w:ascii="楷体_GB2312" w:eastAsia="楷体_GB2312" w:hint="eastAsia"/>
          <w:spacing w:val="5"/>
        </w:rPr>
        <w:t>第十</w:t>
      </w:r>
      <w:r>
        <w:rPr>
          <w:rFonts w:ascii="楷体_GB2312" w:eastAsia="楷体_GB2312" w:hint="eastAsia"/>
        </w:rPr>
        <w:t>四条</w:t>
        <w:tab/>
      </w:r>
      <w:r>
        <w:rPr>
          <w:spacing w:val="5"/>
        </w:rPr>
        <w:t>积极</w:t>
      </w:r>
      <w:r>
        <w:rPr/>
        <w:t>为</w:t>
      </w:r>
      <w:r>
        <w:rPr>
          <w:spacing w:val="5"/>
        </w:rPr>
        <w:t>郯城县有突</w:t>
      </w:r>
      <w:r>
        <w:rPr/>
        <w:t>出</w:t>
      </w:r>
      <w:r>
        <w:rPr>
          <w:spacing w:val="5"/>
        </w:rPr>
        <w:t>贡献的中青</w:t>
      </w:r>
      <w:r>
        <w:rPr/>
        <w:t>年</w:t>
      </w:r>
      <w:r>
        <w:rPr>
          <w:spacing w:val="5"/>
        </w:rPr>
        <w:t>专家创造</w:t>
      </w:r>
      <w:r>
        <w:rPr>
          <w:spacing w:val="-16"/>
        </w:rPr>
        <w:t>良</w:t>
      </w:r>
      <w:r>
        <w:rPr/>
        <w:t>好的工作环境和条件。</w:t>
      </w:r>
    </w:p>
    <w:p>
      <w:pPr>
        <w:pStyle w:val="BodyText"/>
        <w:spacing w:line="300" w:lineRule="auto" w:before="2"/>
        <w:ind w:left="108" w:right="389" w:firstLine="638"/>
      </w:pPr>
      <w:r>
        <w:rPr>
          <w:w w:val="95"/>
        </w:rPr>
        <w:t>（一）根据工作需要，所在单位要为郯城县有突出贡献的 </w:t>
      </w:r>
      <w:r>
        <w:rPr/>
        <w:t>中青年专家提供工作必需的场所和设施。</w:t>
      </w:r>
    </w:p>
    <w:p>
      <w:pPr>
        <w:pStyle w:val="BodyText"/>
        <w:spacing w:line="300" w:lineRule="auto"/>
        <w:ind w:left="108" w:right="386" w:firstLine="638"/>
        <w:jc w:val="both"/>
      </w:pPr>
      <w:r>
        <w:rPr>
          <w:w w:val="95"/>
        </w:rPr>
        <w:t>（二）郯城县有突出贡献的中青年专家在申报科研项目、 </w:t>
      </w:r>
      <w:r>
        <w:rPr/>
        <w:t>高新技术成果的开发应用、风险投资和科技开发资金时,有关部门和单位要优先予以立项或支持。</w:t>
      </w:r>
    </w:p>
    <w:p>
      <w:pPr>
        <w:pStyle w:val="BodyText"/>
        <w:spacing w:line="300" w:lineRule="auto" w:before="1"/>
        <w:ind w:left="108" w:right="386" w:firstLine="638"/>
        <w:jc w:val="both"/>
      </w:pPr>
      <w:r>
        <w:rPr>
          <w:w w:val="95"/>
        </w:rPr>
        <w:t>（三）有关部门和所在单位要积极支持郯城县有突出贡献 </w:t>
      </w:r>
      <w:r>
        <w:rPr/>
        <w:t>的中青年专家参加业务进修、学习，优先安排他们参与国内外学术交流、合作研究。</w:t>
      </w:r>
    </w:p>
    <w:p>
      <w:pPr>
        <w:pStyle w:val="BodyText"/>
        <w:spacing w:line="300" w:lineRule="auto" w:before="2"/>
        <w:ind w:left="108" w:right="386" w:firstLine="638"/>
        <w:jc w:val="both"/>
      </w:pPr>
      <w:r>
        <w:rPr>
          <w:w w:val="95"/>
        </w:rPr>
        <w:t>（四）对郯城县有突出贡献的中青年专家，有关部门和所 </w:t>
      </w:r>
      <w:r>
        <w:rPr/>
        <w:t>在单位要根据其特长合理使用；在重大项目咨询论证、重大课题联合攻关中，要注重发挥他们的专业特长。</w:t>
      </w:r>
    </w:p>
    <w:p>
      <w:pPr>
        <w:pStyle w:val="BodyText"/>
        <w:spacing w:line="300" w:lineRule="auto" w:before="4"/>
        <w:ind w:left="108" w:right="386" w:firstLine="614"/>
        <w:jc w:val="both"/>
      </w:pPr>
      <w:r>
        <w:rPr>
          <w:rFonts w:ascii="楷体_GB2312" w:eastAsia="楷体_GB2312" w:hint="eastAsia"/>
        </w:rPr>
        <w:t>第十五条 </w:t>
      </w:r>
      <w:r>
        <w:rPr/>
        <w:t>对郯城县有突出贡献的中青年专家在生活上关心照顾。</w:t>
      </w:r>
    </w:p>
    <w:p>
      <w:pPr>
        <w:pStyle w:val="BodyText"/>
        <w:spacing w:line="300" w:lineRule="auto"/>
        <w:ind w:left="108" w:right="386" w:firstLine="614"/>
        <w:jc w:val="both"/>
      </w:pPr>
      <w:r>
        <w:rPr>
          <w:spacing w:val="5"/>
          <w:w w:val="95"/>
        </w:rPr>
        <w:t>（</w:t>
      </w:r>
      <w:r>
        <w:rPr>
          <w:spacing w:val="7"/>
          <w:w w:val="95"/>
        </w:rPr>
        <w:t>一</w:t>
      </w:r>
      <w:r>
        <w:rPr>
          <w:spacing w:val="5"/>
          <w:w w:val="95"/>
        </w:rPr>
        <w:t>）</w:t>
      </w:r>
      <w:r>
        <w:rPr>
          <w:spacing w:val="4"/>
          <w:w w:val="95"/>
        </w:rPr>
        <w:t>郯城县有突出贡献的中青年专家在管理期间，由县 </w:t>
      </w:r>
      <w:r>
        <w:rPr>
          <w:spacing w:val="-3"/>
        </w:rPr>
        <w:t>财政每人每月发给县政府津贴 </w:t>
      </w:r>
      <w:r>
        <w:rPr/>
        <w:t>800</w:t>
      </w:r>
      <w:r>
        <w:rPr>
          <w:spacing w:val="-5"/>
        </w:rPr>
        <w:t> 元。由县财政列入预算，统</w:t>
      </w:r>
      <w:r>
        <w:rPr/>
        <w:t>一拨付县人社局发放。</w:t>
      </w:r>
    </w:p>
    <w:p>
      <w:pPr>
        <w:pStyle w:val="BodyText"/>
        <w:spacing w:line="300" w:lineRule="auto" w:before="2"/>
        <w:ind w:left="108" w:right="386" w:firstLine="638"/>
        <w:jc w:val="both"/>
      </w:pPr>
      <w:r>
        <w:rPr>
          <w:w w:val="95"/>
        </w:rPr>
        <w:t>（二）郯城县有突出贡献的中青年专家在管理期间，享受 </w:t>
      </w:r>
      <w:r>
        <w:rPr/>
        <w:t>当地医疗保健待遇，由卫生、人社部门予以落实。所在单位每年组织郯城县有突出贡献的中青年专家进行一次健康查体，所</w:t>
      </w:r>
    </w:p>
    <w:p>
      <w:pPr>
        <w:spacing w:after="0" w:line="300" w:lineRule="auto"/>
        <w:jc w:val="both"/>
        <w:sectPr>
          <w:pgSz w:w="11910" w:h="16840"/>
          <w:pgMar w:header="0" w:footer="1342" w:top="1580" w:bottom="1540" w:left="1480" w:right="1200"/>
        </w:sectPr>
      </w:pPr>
    </w:p>
    <w:p>
      <w:pPr>
        <w:pStyle w:val="BodyText"/>
        <w:spacing w:before="8"/>
        <w:rPr>
          <w:sz w:val="13"/>
        </w:rPr>
      </w:pPr>
    </w:p>
    <w:p>
      <w:pPr>
        <w:pStyle w:val="BodyText"/>
        <w:spacing w:before="41"/>
        <w:ind w:left="108"/>
      </w:pPr>
      <w:r>
        <w:rPr/>
        <w:t>需经费由所在单位负责。</w:t>
      </w:r>
    </w:p>
    <w:p>
      <w:pPr>
        <w:pStyle w:val="BodyText"/>
        <w:spacing w:line="300" w:lineRule="auto" w:before="112"/>
        <w:ind w:left="108" w:right="338" w:firstLine="638"/>
        <w:jc w:val="both"/>
      </w:pPr>
      <w:r>
        <w:rPr>
          <w:spacing w:val="5"/>
        </w:rPr>
        <w:t>（三）</w:t>
      </w:r>
      <w:r>
        <w:rPr/>
        <w:t>所在单位每年为郯城县有突出贡献的中青年专家安</w:t>
      </w:r>
      <w:r>
        <w:rPr>
          <w:spacing w:val="-43"/>
        </w:rPr>
        <w:t>排 </w:t>
      </w:r>
      <w:r>
        <w:rPr/>
        <w:t>20</w:t>
      </w:r>
      <w:r>
        <w:rPr>
          <w:spacing w:val="-10"/>
        </w:rPr>
        <w:t> 天的休养。有寒暑假和休假制度的单位，在假期内安排， </w:t>
      </w:r>
      <w:r>
        <w:rPr/>
        <w:t>假期不够的予以补足。休养期间所花费用，依据现行财务管理制度由所在单位按因公出差报销。</w:t>
      </w:r>
    </w:p>
    <w:p>
      <w:pPr>
        <w:pStyle w:val="BodyText"/>
        <w:spacing w:line="300" w:lineRule="auto" w:before="4"/>
        <w:ind w:left="108" w:right="386" w:firstLine="638"/>
        <w:jc w:val="both"/>
      </w:pPr>
      <w:r>
        <w:rPr>
          <w:w w:val="95"/>
        </w:rPr>
        <w:t>（四）郯城县有突出贡献的中青年专家的配偶和未婚子女 </w:t>
      </w:r>
      <w:r>
        <w:rPr/>
        <w:t>愿意到专家单位所在地落户的，由专家本人提出申请，公安部门可凭《郯城县有突出贡献的中青年专家》证书为其办理户口迁移手续。配偶、子女待业、待岗的，主管部门和所在单位积极为其就业创造条件。</w:t>
      </w:r>
    </w:p>
    <w:p>
      <w:pPr>
        <w:pStyle w:val="BodyText"/>
        <w:spacing w:before="3"/>
        <w:rPr>
          <w:sz w:val="40"/>
        </w:rPr>
      </w:pPr>
    </w:p>
    <w:p>
      <w:pPr>
        <w:pStyle w:val="BodyText"/>
        <w:tabs>
          <w:tab w:pos="1291" w:val="left" w:leader="none"/>
        </w:tabs>
        <w:ind w:right="280"/>
        <w:jc w:val="center"/>
        <w:rPr>
          <w:rFonts w:ascii="黑体" w:eastAsia="黑体" w:hint="eastAsia"/>
        </w:rPr>
      </w:pPr>
      <w:r>
        <w:rPr>
          <w:rFonts w:ascii="黑体" w:eastAsia="黑体" w:hint="eastAsia"/>
        </w:rPr>
        <w:t>第五章</w:t>
        <w:tab/>
        <w:t>考核与联系</w:t>
      </w:r>
    </w:p>
    <w:p>
      <w:pPr>
        <w:pStyle w:val="BodyText"/>
        <w:rPr>
          <w:rFonts w:ascii="黑体"/>
        </w:rPr>
      </w:pPr>
    </w:p>
    <w:p>
      <w:pPr>
        <w:pStyle w:val="BodyText"/>
        <w:spacing w:before="6"/>
        <w:rPr>
          <w:rFonts w:ascii="黑体"/>
          <w:sz w:val="23"/>
        </w:rPr>
      </w:pPr>
    </w:p>
    <w:p>
      <w:pPr>
        <w:pStyle w:val="BodyText"/>
        <w:spacing w:before="1"/>
        <w:ind w:left="751"/>
        <w:jc w:val="both"/>
      </w:pPr>
      <w:r>
        <w:rPr>
          <w:rFonts w:ascii="楷体_GB2312" w:eastAsia="楷体_GB2312" w:hint="eastAsia"/>
        </w:rPr>
        <w:t>第十六条 </w:t>
      </w:r>
      <w:r>
        <w:rPr/>
        <w:t>建立业绩考核和联系制度。</w:t>
      </w:r>
    </w:p>
    <w:p>
      <w:pPr>
        <w:pStyle w:val="BodyText"/>
        <w:spacing w:line="300" w:lineRule="auto" w:before="111"/>
        <w:ind w:left="108" w:right="386" w:firstLine="643"/>
        <w:jc w:val="both"/>
      </w:pPr>
      <w:r>
        <w:rPr>
          <w:spacing w:val="5"/>
        </w:rPr>
        <w:t>（一</w:t>
      </w:r>
      <w:r>
        <w:rPr/>
        <w:t>）建立郯城县有突出贡献的中青年专家档案。对管理</w:t>
      </w:r>
      <w:r>
        <w:rPr>
          <w:spacing w:val="-1"/>
        </w:rPr>
        <w:t>期内的郯城县有突出贡献的中青年专家，根据工作实际，由单</w:t>
      </w:r>
      <w:r>
        <w:rPr>
          <w:spacing w:val="-7"/>
        </w:rPr>
        <w:t>位和个人共同制定 </w:t>
      </w:r>
      <w:r>
        <w:rPr/>
        <w:t>3</w:t>
      </w:r>
      <w:r>
        <w:rPr>
          <w:spacing w:val="-7"/>
        </w:rPr>
        <w:t> 年管理目标和年度计划，报县人力资源和</w:t>
      </w:r>
      <w:r>
        <w:rPr/>
        <w:t>社会保障局与主管部门备案。</w:t>
      </w:r>
    </w:p>
    <w:p>
      <w:pPr>
        <w:pStyle w:val="BodyText"/>
        <w:spacing w:line="300" w:lineRule="auto" w:before="2"/>
        <w:ind w:left="108" w:right="386" w:firstLine="638"/>
        <w:jc w:val="both"/>
      </w:pPr>
      <w:r>
        <w:rPr>
          <w:w w:val="95"/>
        </w:rPr>
        <w:t>（二）建立考核制度。按照郯城县有突出贡献的中青年专 </w:t>
      </w:r>
      <w:r>
        <w:rPr/>
        <w:t>家年度管理计划和目标，每年年终由主管部门和所在单位进行一次认真考核，考核结果记入郯城县有突出贡献的中青年专家档案，同时写出管理工作报告，报县人力资源和社会保障局。县人力资源和社会保障局将不定期地对各单位的管理情况进行检查。</w:t>
      </w:r>
    </w:p>
    <w:p>
      <w:pPr>
        <w:spacing w:after="0" w:line="300" w:lineRule="auto"/>
        <w:jc w:val="both"/>
        <w:sectPr>
          <w:pgSz w:w="11910" w:h="16840"/>
          <w:pgMar w:header="0" w:footer="1342" w:top="1580" w:bottom="1540" w:left="1480" w:right="1200"/>
        </w:sectPr>
      </w:pPr>
    </w:p>
    <w:p>
      <w:pPr>
        <w:pStyle w:val="BodyText"/>
        <w:spacing w:before="8"/>
        <w:rPr>
          <w:sz w:val="13"/>
        </w:rPr>
      </w:pPr>
    </w:p>
    <w:p>
      <w:pPr>
        <w:pStyle w:val="BodyText"/>
        <w:spacing w:line="300" w:lineRule="auto" w:before="41"/>
        <w:ind w:left="108" w:right="386" w:firstLine="638"/>
        <w:jc w:val="both"/>
      </w:pPr>
      <w:r>
        <w:rPr>
          <w:w w:val="95"/>
        </w:rPr>
        <w:t>（三）将郯城县有突出贡献的中青年专家纳入郯城县高层 </w:t>
      </w:r>
      <w:r>
        <w:rPr/>
        <w:t>次人才信息库管理。县人力资源和社会保障局对郯城县有突出贡献的中青年专家的有关情况立卷存档，并建立经常性的联系制度，及时为其提供必要的服务。</w:t>
      </w:r>
    </w:p>
    <w:p>
      <w:pPr>
        <w:pStyle w:val="BodyText"/>
        <w:spacing w:line="302" w:lineRule="auto" w:before="2"/>
        <w:ind w:left="108" w:right="389" w:firstLine="638"/>
      </w:pPr>
      <w:r>
        <w:rPr>
          <w:spacing w:val="5"/>
          <w:w w:val="95"/>
        </w:rPr>
        <w:t>（四）</w:t>
      </w:r>
      <w:r>
        <w:rPr>
          <w:w w:val="95"/>
        </w:rPr>
        <w:t>郯城县有突出贡献的中青年专家应积极参加政府有 </w:t>
      </w:r>
      <w:r>
        <w:rPr/>
        <w:t>关部门组织的公益性活动，发挥专长。</w:t>
      </w:r>
    </w:p>
    <w:p>
      <w:pPr>
        <w:pStyle w:val="BodyText"/>
        <w:spacing w:line="300" w:lineRule="auto"/>
        <w:ind w:left="108" w:right="386" w:firstLine="600"/>
        <w:jc w:val="both"/>
      </w:pPr>
      <w:r>
        <w:rPr>
          <w:rFonts w:ascii="楷体_GB2312" w:eastAsia="楷体_GB2312" w:hint="eastAsia"/>
          <w:spacing w:val="33"/>
        </w:rPr>
        <w:t>第十七条 </w:t>
      </w:r>
      <w:r>
        <w:rPr>
          <w:spacing w:val="4"/>
        </w:rPr>
        <w:t>郯城县有突出贡献的中青年专家在管理期间， </w:t>
      </w:r>
      <w:r>
        <w:rPr>
          <w:spacing w:val="-1"/>
        </w:rPr>
        <w:t>在县内变动工作单位的，主管部门要及时报县人社局备案，调往县外的要事先报告县人力资源和社会保障局。凡属下列情况之一的，自情况发生之日的下个月起停发县政府津贴，不再按</w:t>
      </w:r>
      <w:r>
        <w:rPr/>
        <w:t>郯城县有突出贡献的中青年专家管理。</w:t>
      </w:r>
    </w:p>
    <w:p>
      <w:pPr>
        <w:pStyle w:val="BodyText"/>
        <w:ind w:left="708"/>
      </w:pPr>
      <w:r>
        <w:rPr/>
        <w:t>（一）被选拔为市以上有突出贡献中青年专家的；</w:t>
      </w:r>
    </w:p>
    <w:p>
      <w:pPr>
        <w:pStyle w:val="BodyText"/>
        <w:spacing w:before="108"/>
        <w:ind w:left="708"/>
      </w:pPr>
      <w:r>
        <w:rPr/>
        <w:t>（二）不再主要从事专业技术工作的；</w:t>
      </w:r>
    </w:p>
    <w:p>
      <w:pPr>
        <w:pStyle w:val="BodyText"/>
        <w:spacing w:before="112"/>
        <w:ind w:left="708"/>
      </w:pPr>
      <w:r>
        <w:rPr/>
        <w:t>（三）调往县外工作的；</w:t>
      </w:r>
    </w:p>
    <w:p>
      <w:pPr>
        <w:pStyle w:val="BodyText"/>
        <w:spacing w:before="114"/>
        <w:ind w:left="708"/>
      </w:pPr>
      <w:r>
        <w:rPr/>
        <w:t>（四）未经组织同意，出国逾期不归的；</w:t>
      </w:r>
    </w:p>
    <w:p>
      <w:pPr>
        <w:pStyle w:val="BodyText"/>
        <w:spacing w:line="300" w:lineRule="auto" w:before="112"/>
        <w:ind w:left="108" w:right="386" w:firstLine="600"/>
      </w:pPr>
      <w:r>
        <w:rPr>
          <w:spacing w:val="7"/>
          <w:w w:val="95"/>
        </w:rPr>
        <w:t>（</w:t>
      </w:r>
      <w:r>
        <w:rPr>
          <w:spacing w:val="5"/>
          <w:w w:val="95"/>
        </w:rPr>
        <w:t>五</w:t>
      </w:r>
      <w:r>
        <w:rPr>
          <w:spacing w:val="7"/>
          <w:w w:val="95"/>
        </w:rPr>
        <w:t>）</w:t>
      </w:r>
      <w:r>
        <w:rPr>
          <w:spacing w:val="4"/>
          <w:w w:val="95"/>
        </w:rPr>
        <w:t>学术造假、考核不合格等其他原因不宜再作为有突 </w:t>
      </w:r>
      <w:r>
        <w:rPr/>
        <w:t>出贡献的中青年专家管理的。</w:t>
      </w:r>
    </w:p>
    <w:p>
      <w:pPr>
        <w:pStyle w:val="BodyText"/>
        <w:tabs>
          <w:tab w:pos="2338" w:val="left" w:leader="none"/>
        </w:tabs>
        <w:spacing w:line="300" w:lineRule="auto" w:before="2"/>
        <w:ind w:left="108" w:right="228" w:firstLine="600"/>
      </w:pPr>
      <w:r>
        <w:rPr>
          <w:rFonts w:ascii="楷体_GB2312" w:eastAsia="楷体_GB2312" w:hint="eastAsia"/>
          <w:spacing w:val="5"/>
        </w:rPr>
        <w:t>第</w:t>
      </w:r>
      <w:r>
        <w:rPr>
          <w:rFonts w:ascii="楷体_GB2312" w:eastAsia="楷体_GB2312" w:hint="eastAsia"/>
          <w:spacing w:val="7"/>
        </w:rPr>
        <w:t>十</w:t>
      </w:r>
      <w:r>
        <w:rPr>
          <w:rFonts w:ascii="楷体_GB2312" w:eastAsia="楷体_GB2312" w:hint="eastAsia"/>
          <w:spacing w:val="5"/>
        </w:rPr>
        <w:t>八</w:t>
      </w:r>
      <w:r>
        <w:rPr>
          <w:rFonts w:ascii="楷体_GB2312" w:eastAsia="楷体_GB2312" w:hint="eastAsia"/>
        </w:rPr>
        <w:t>条</w:t>
        <w:tab/>
      </w:r>
      <w:r>
        <w:rPr>
          <w:spacing w:val="5"/>
        </w:rPr>
        <w:t>郯</w:t>
      </w:r>
      <w:r>
        <w:rPr>
          <w:spacing w:val="7"/>
        </w:rPr>
        <w:t>城</w:t>
      </w:r>
      <w:r>
        <w:rPr>
          <w:spacing w:val="5"/>
        </w:rPr>
        <w:t>县</w:t>
      </w:r>
      <w:r>
        <w:rPr>
          <w:spacing w:val="7"/>
        </w:rPr>
        <w:t>有</w:t>
      </w:r>
      <w:r>
        <w:rPr>
          <w:spacing w:val="5"/>
        </w:rPr>
        <w:t>突</w:t>
      </w:r>
      <w:r>
        <w:rPr>
          <w:spacing w:val="7"/>
        </w:rPr>
        <w:t>出</w:t>
      </w:r>
      <w:r>
        <w:rPr>
          <w:spacing w:val="5"/>
        </w:rPr>
        <w:t>贡</w:t>
      </w:r>
      <w:r>
        <w:rPr>
          <w:spacing w:val="7"/>
        </w:rPr>
        <w:t>献</w:t>
      </w:r>
      <w:r>
        <w:rPr>
          <w:spacing w:val="5"/>
        </w:rPr>
        <w:t>的</w:t>
      </w:r>
      <w:r>
        <w:rPr>
          <w:spacing w:val="7"/>
        </w:rPr>
        <w:t>中</w:t>
      </w:r>
      <w:r>
        <w:rPr>
          <w:spacing w:val="5"/>
        </w:rPr>
        <w:t>青</w:t>
      </w:r>
      <w:r>
        <w:rPr>
          <w:spacing w:val="7"/>
        </w:rPr>
        <w:t>年</w:t>
      </w:r>
      <w:r>
        <w:rPr>
          <w:spacing w:val="5"/>
        </w:rPr>
        <w:t>专</w:t>
      </w:r>
      <w:r>
        <w:rPr>
          <w:spacing w:val="7"/>
        </w:rPr>
        <w:t>家</w:t>
      </w:r>
      <w:r>
        <w:rPr>
          <w:spacing w:val="5"/>
        </w:rPr>
        <w:t>在</w:t>
      </w:r>
      <w:r>
        <w:rPr>
          <w:spacing w:val="7"/>
        </w:rPr>
        <w:t>管</w:t>
      </w:r>
      <w:r>
        <w:rPr>
          <w:spacing w:val="5"/>
        </w:rPr>
        <w:t>理</w:t>
      </w:r>
      <w:r>
        <w:rPr>
          <w:spacing w:val="7"/>
        </w:rPr>
        <w:t>期</w:t>
      </w:r>
      <w:r>
        <w:rPr>
          <w:spacing w:val="5"/>
        </w:rPr>
        <w:t>间</w:t>
      </w:r>
      <w:r>
        <w:rPr/>
        <w:t>， </w:t>
      </w:r>
      <w:r>
        <w:rPr>
          <w:w w:val="95"/>
        </w:rPr>
        <w:t>凡有下列情况之一的</w:t>
      </w:r>
      <w:r>
        <w:rPr>
          <w:spacing w:val="-36"/>
          <w:w w:val="95"/>
        </w:rPr>
        <w:t>，</w:t>
      </w:r>
      <w:r>
        <w:rPr>
          <w:w w:val="95"/>
        </w:rPr>
        <w:t>由所在单位提出意见</w:t>
      </w:r>
      <w:r>
        <w:rPr>
          <w:spacing w:val="-34"/>
          <w:w w:val="95"/>
        </w:rPr>
        <w:t>，</w:t>
      </w:r>
      <w:r>
        <w:rPr>
          <w:w w:val="95"/>
        </w:rPr>
        <w:t>主管部门同意后， </w:t>
      </w:r>
      <w:r>
        <w:rPr>
          <w:spacing w:val="5"/>
        </w:rPr>
        <w:t>经县</w:t>
      </w:r>
      <w:r>
        <w:rPr/>
        <w:t>人</w:t>
      </w:r>
      <w:r>
        <w:rPr>
          <w:spacing w:val="5"/>
        </w:rPr>
        <w:t>力资源</w:t>
      </w:r>
      <w:r>
        <w:rPr/>
        <w:t>和</w:t>
      </w:r>
      <w:r>
        <w:rPr>
          <w:spacing w:val="5"/>
        </w:rPr>
        <w:t>社会保障</w:t>
      </w:r>
      <w:r>
        <w:rPr/>
        <w:t>局</w:t>
      </w:r>
      <w:r>
        <w:rPr>
          <w:spacing w:val="5"/>
        </w:rPr>
        <w:t>核实，</w:t>
      </w:r>
      <w:r>
        <w:rPr/>
        <w:t>报</w:t>
      </w:r>
      <w:r>
        <w:rPr>
          <w:spacing w:val="5"/>
        </w:rPr>
        <w:t>请县政府</w:t>
      </w:r>
      <w:r>
        <w:rPr/>
        <w:t>批</w:t>
      </w:r>
      <w:r>
        <w:rPr>
          <w:spacing w:val="5"/>
        </w:rPr>
        <w:t>准，取</w:t>
      </w:r>
      <w:r>
        <w:rPr/>
        <w:t>消</w:t>
      </w:r>
      <w:r>
        <w:rPr>
          <w:spacing w:val="5"/>
        </w:rPr>
        <w:t>其</w:t>
      </w:r>
      <w:r>
        <w:rPr/>
        <w:t>郯城县有突出贡献的中青年专家称号和有关待遇。</w:t>
      </w:r>
    </w:p>
    <w:p>
      <w:pPr>
        <w:pStyle w:val="BodyText"/>
        <w:spacing w:line="300" w:lineRule="auto" w:before="2"/>
        <w:ind w:left="108" w:right="386" w:firstLine="600"/>
      </w:pPr>
      <w:r>
        <w:rPr>
          <w:spacing w:val="7"/>
          <w:w w:val="95"/>
        </w:rPr>
        <w:t>（</w:t>
      </w:r>
      <w:r>
        <w:rPr>
          <w:spacing w:val="5"/>
          <w:w w:val="95"/>
        </w:rPr>
        <w:t>一</w:t>
      </w:r>
      <w:r>
        <w:rPr>
          <w:spacing w:val="7"/>
          <w:w w:val="95"/>
        </w:rPr>
        <w:t>）</w:t>
      </w:r>
      <w:r>
        <w:rPr>
          <w:spacing w:val="4"/>
          <w:w w:val="95"/>
        </w:rPr>
        <w:t>弄虚作假，谎报成果，采取不正当手段骗取郯城县 </w:t>
      </w:r>
      <w:r>
        <w:rPr/>
        <w:t>有突出贡献的中青年专家称号的；</w:t>
      </w:r>
    </w:p>
    <w:p>
      <w:pPr>
        <w:pStyle w:val="BodyText"/>
        <w:spacing w:before="2"/>
        <w:ind w:left="708"/>
      </w:pPr>
      <w:r>
        <w:rPr/>
        <w:t>（二）被追究刑事责任，因个人过失给国家、集体、他人</w:t>
      </w:r>
    </w:p>
    <w:p>
      <w:pPr>
        <w:spacing w:after="0"/>
        <w:sectPr>
          <w:pgSz w:w="11910" w:h="16840"/>
          <w:pgMar w:header="0" w:footer="1342" w:top="1580" w:bottom="1540" w:left="1480" w:right="1200"/>
        </w:sectPr>
      </w:pPr>
    </w:p>
    <w:p>
      <w:pPr>
        <w:pStyle w:val="BodyText"/>
        <w:spacing w:before="8"/>
        <w:rPr>
          <w:sz w:val="13"/>
        </w:rPr>
      </w:pPr>
    </w:p>
    <w:p>
      <w:pPr>
        <w:pStyle w:val="BodyText"/>
        <w:spacing w:before="41"/>
        <w:ind w:left="108"/>
      </w:pPr>
      <w:r>
        <w:rPr/>
        <w:t>造成重大损失或严重后果的；</w:t>
      </w:r>
    </w:p>
    <w:p>
      <w:pPr>
        <w:pStyle w:val="BodyText"/>
        <w:spacing w:line="302" w:lineRule="auto" w:before="112"/>
        <w:ind w:left="108" w:right="386" w:firstLine="600"/>
      </w:pPr>
      <w:r>
        <w:rPr>
          <w:spacing w:val="7"/>
          <w:w w:val="95"/>
        </w:rPr>
        <w:t>（</w:t>
      </w:r>
      <w:r>
        <w:rPr>
          <w:spacing w:val="5"/>
          <w:w w:val="95"/>
        </w:rPr>
        <w:t>三</w:t>
      </w:r>
      <w:r>
        <w:rPr>
          <w:spacing w:val="7"/>
          <w:w w:val="95"/>
        </w:rPr>
        <w:t>）</w:t>
      </w:r>
      <w:r>
        <w:rPr>
          <w:spacing w:val="4"/>
          <w:w w:val="95"/>
        </w:rPr>
        <w:t>其他原因不宜继续作为郯城县有突出贡献的中青年 </w:t>
      </w:r>
      <w:r>
        <w:rPr/>
        <w:t>专家管理的。</w:t>
      </w:r>
    </w:p>
    <w:p>
      <w:pPr>
        <w:pStyle w:val="BodyText"/>
        <w:spacing w:before="9"/>
        <w:rPr>
          <w:sz w:val="39"/>
        </w:rPr>
      </w:pPr>
    </w:p>
    <w:p>
      <w:pPr>
        <w:pStyle w:val="BodyText"/>
        <w:tabs>
          <w:tab w:pos="1291" w:val="left" w:leader="none"/>
        </w:tabs>
        <w:ind w:right="280"/>
        <w:jc w:val="center"/>
        <w:rPr>
          <w:rFonts w:ascii="黑体" w:eastAsia="黑体" w:hint="eastAsia"/>
        </w:rPr>
      </w:pPr>
      <w:r>
        <w:rPr>
          <w:rFonts w:ascii="黑体" w:eastAsia="黑体" w:hint="eastAsia"/>
        </w:rPr>
        <w:t>第六章</w:t>
        <w:tab/>
        <w:t>附则</w:t>
      </w:r>
    </w:p>
    <w:p>
      <w:pPr>
        <w:pStyle w:val="BodyText"/>
        <w:rPr>
          <w:rFonts w:ascii="黑体"/>
        </w:rPr>
      </w:pPr>
    </w:p>
    <w:p>
      <w:pPr>
        <w:pStyle w:val="BodyText"/>
        <w:spacing w:before="3"/>
        <w:rPr>
          <w:rFonts w:ascii="黑体"/>
          <w:sz w:val="23"/>
        </w:rPr>
      </w:pPr>
    </w:p>
    <w:p>
      <w:pPr>
        <w:pStyle w:val="BodyText"/>
        <w:tabs>
          <w:tab w:pos="2309" w:val="left" w:leader="none"/>
        </w:tabs>
        <w:spacing w:before="1"/>
        <w:ind w:left="708"/>
      </w:pPr>
      <w:r>
        <w:rPr>
          <w:rFonts w:ascii="楷体_GB2312" w:eastAsia="楷体_GB2312" w:hint="eastAsia"/>
        </w:rPr>
        <w:t>第十九条</w:t>
        <w:tab/>
      </w:r>
      <w:r>
        <w:rPr/>
        <w:t>本办法</w:t>
      </w:r>
      <w:r>
        <w:rPr>
          <w:spacing w:val="45"/>
        </w:rPr>
        <w:t>自</w:t>
      </w:r>
      <w:r>
        <w:rPr/>
        <w:t>2017</w:t>
      </w:r>
      <w:r>
        <w:rPr>
          <w:spacing w:val="-118"/>
        </w:rPr>
        <w:t> </w:t>
      </w:r>
      <w:r>
        <w:rPr>
          <w:spacing w:val="43"/>
        </w:rPr>
        <w:t>年</w:t>
      </w:r>
      <w:r>
        <w:rPr/>
        <w:t>12</w:t>
      </w:r>
      <w:r>
        <w:rPr>
          <w:spacing w:val="-120"/>
        </w:rPr>
        <w:t> </w:t>
      </w:r>
      <w:r>
        <w:rPr>
          <w:spacing w:val="43"/>
        </w:rPr>
        <w:t>月</w:t>
      </w:r>
      <w:r>
        <w:rPr/>
        <w:t>1</w:t>
      </w:r>
      <w:r>
        <w:rPr>
          <w:spacing w:val="-118"/>
        </w:rPr>
        <w:t> </w:t>
      </w:r>
      <w:r>
        <w:rPr/>
        <w:t>日起施行</w:t>
      </w:r>
      <w:r>
        <w:rPr>
          <w:spacing w:val="-159"/>
        </w:rPr>
        <w:t>，</w:t>
      </w:r>
      <w:r>
        <w:rPr/>
        <w:t>有效期</w:t>
      </w:r>
      <w:r>
        <w:rPr>
          <w:spacing w:val="45"/>
        </w:rPr>
        <w:t>至</w:t>
      </w:r>
      <w:r>
        <w:rPr/>
        <w:t>2022</w:t>
      </w:r>
    </w:p>
    <w:p>
      <w:pPr>
        <w:pStyle w:val="BodyText"/>
        <w:spacing w:line="302" w:lineRule="auto" w:before="111"/>
        <w:ind w:left="108" w:right="384"/>
      </w:pPr>
      <w:r>
        <w:rPr>
          <w:spacing w:val="-40"/>
        </w:rPr>
        <w:t>年 </w:t>
      </w:r>
      <w:r>
        <w:rPr/>
        <w:t>11</w:t>
      </w:r>
      <w:r>
        <w:rPr>
          <w:spacing w:val="-53"/>
        </w:rPr>
        <w:t> 月 </w:t>
      </w:r>
      <w:r>
        <w:rPr/>
        <w:t>30</w:t>
      </w:r>
      <w:r>
        <w:rPr>
          <w:spacing w:val="-26"/>
        </w:rPr>
        <w:t> 日。</w:t>
      </w:r>
      <w:r>
        <w:rPr/>
        <w:t>2009</w:t>
      </w:r>
      <w:r>
        <w:rPr>
          <w:spacing w:val="-52"/>
        </w:rPr>
        <w:t> 年 </w:t>
      </w:r>
      <w:r>
        <w:rPr/>
        <w:t>6</w:t>
      </w:r>
      <w:r>
        <w:rPr>
          <w:spacing w:val="-53"/>
        </w:rPr>
        <w:t> 月 </w:t>
      </w:r>
      <w:r>
        <w:rPr/>
        <w:t>16</w:t>
      </w:r>
      <w:r>
        <w:rPr>
          <w:spacing w:val="-9"/>
        </w:rPr>
        <w:t> 日县政府办公室发布施行的《郯</w:t>
      </w:r>
      <w:r>
        <w:rPr>
          <w:w w:val="95"/>
        </w:rPr>
        <w:t>城县有突出贡献的中青年专家选拔管理暂行办法》</w:t>
      </w:r>
      <w:r>
        <w:rPr>
          <w:spacing w:val="12"/>
          <w:w w:val="95"/>
        </w:rPr>
        <w:t>（</w:t>
      </w:r>
      <w:r>
        <w:rPr>
          <w:spacing w:val="6"/>
          <w:w w:val="95"/>
        </w:rPr>
        <w:t>郯政办发</w:t>
      </w:r>
    </w:p>
    <w:p>
      <w:pPr>
        <w:pStyle w:val="BodyText"/>
        <w:spacing w:line="441" w:lineRule="exact"/>
        <w:ind w:left="108"/>
      </w:pPr>
      <w:r>
        <w:rPr/>
        <w:t>〔2009〕54 号）同时废止。</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5"/>
        <w:rPr>
          <w:sz w:val="49"/>
        </w:rPr>
      </w:pPr>
    </w:p>
    <w:p>
      <w:pPr>
        <w:pStyle w:val="BodyText"/>
        <w:ind w:left="108"/>
        <w:rPr>
          <w:rFonts w:ascii="黑体"/>
        </w:rPr>
      </w:pPr>
      <w:r>
        <w:rPr>
          <w:rFonts w:ascii="黑体"/>
        </w:rPr>
        <w:t>TCDR-2017-002005</w:t>
      </w:r>
    </w:p>
    <w:p>
      <w:pPr>
        <w:spacing w:after="0"/>
        <w:rPr>
          <w:rFonts w:ascii="黑体"/>
        </w:rPr>
        <w:sectPr>
          <w:pgSz w:w="11910" w:h="16840"/>
          <w:pgMar w:header="0" w:footer="1342" w:top="1580" w:bottom="1540" w:left="1480" w:right="1200"/>
        </w:sectPr>
      </w:pPr>
    </w:p>
    <w:p>
      <w:pPr>
        <w:pStyle w:val="BodyText"/>
        <w:rPr>
          <w:rFonts w:ascii="黑体"/>
          <w:sz w:val="8"/>
        </w:rPr>
      </w:pPr>
    </w:p>
    <w:p>
      <w:pPr>
        <w:spacing w:line="240" w:lineRule="auto"/>
        <w:ind w:left="849" w:right="0" w:firstLine="0"/>
        <w:rPr>
          <w:rFonts w:ascii="黑体"/>
          <w:sz w:val="20"/>
        </w:rPr>
      </w:pPr>
      <w:r>
        <w:rPr>
          <w:rFonts w:ascii="黑体"/>
          <w:position w:val="1"/>
          <w:sz w:val="20"/>
        </w:rPr>
        <w:drawing>
          <wp:inline distT="0" distB="0" distL="0" distR="0">
            <wp:extent cx="1523390" cy="928687"/>
            <wp:effectExtent l="0" t="0" r="0" b="0"/>
            <wp:docPr id="5" name="image11.png"/>
            <wp:cNvGraphicFramePr>
              <a:graphicFrameLocks noChangeAspect="1"/>
            </wp:cNvGraphicFramePr>
            <a:graphic>
              <a:graphicData uri="http://schemas.openxmlformats.org/drawingml/2006/picture">
                <pic:pic>
                  <pic:nvPicPr>
                    <pic:cNvPr id="6" name="image11.png"/>
                    <pic:cNvPicPr/>
                  </pic:nvPicPr>
                  <pic:blipFill>
                    <a:blip r:embed="rId18" cstate="print"/>
                    <a:stretch>
                      <a:fillRect/>
                    </a:stretch>
                  </pic:blipFill>
                  <pic:spPr>
                    <a:xfrm>
                      <a:off x="0" y="0"/>
                      <a:ext cx="1523390" cy="928687"/>
                    </a:xfrm>
                    <a:prstGeom prst="rect">
                      <a:avLst/>
                    </a:prstGeom>
                  </pic:spPr>
                </pic:pic>
              </a:graphicData>
            </a:graphic>
          </wp:inline>
        </w:drawing>
      </w:r>
      <w:r>
        <w:rPr>
          <w:rFonts w:ascii="黑体"/>
          <w:position w:val="1"/>
          <w:sz w:val="20"/>
        </w:rPr>
      </w:r>
      <w:r>
        <w:rPr>
          <w:rFonts w:ascii="Times New Roman"/>
          <w:spacing w:val="32"/>
          <w:position w:val="1"/>
          <w:sz w:val="20"/>
        </w:rPr>
        <w:t> </w:t>
      </w:r>
      <w:r>
        <w:rPr>
          <w:rFonts w:ascii="黑体"/>
          <w:spacing w:val="32"/>
          <w:sz w:val="20"/>
        </w:rPr>
        <w:pict>
          <v:group style="width:238.5pt;height:74.350pt;mso-position-horizontal-relative:char;mso-position-vertical-relative:line" coordorigin="0,0" coordsize="4770,1487">
            <v:shape style="position:absolute;left:0;top:0;width:2331;height:1487" type="#_x0000_t75" stroked="false">
              <v:imagedata r:id="rId19" o:title=""/>
            </v:shape>
            <v:shape style="position:absolute;left:2386;top:25;width:551;height:1402" type="#_x0000_t75" stroked="false">
              <v:imagedata r:id="rId15" o:title=""/>
            </v:shape>
            <v:shape style="position:absolute;left:2980;top:2;width:1789;height:1479" type="#_x0000_t75" stroked="false">
              <v:imagedata r:id="rId20" o:title=""/>
            </v:shape>
          </v:group>
        </w:pict>
      </w:r>
      <w:r>
        <w:rPr>
          <w:rFonts w:ascii="黑体"/>
          <w:spacing w:val="32"/>
          <w:sz w:val="20"/>
        </w:rPr>
      </w: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8"/>
        <w:rPr>
          <w:rFonts w:ascii="黑体"/>
          <w:sz w:val="16"/>
        </w:rPr>
      </w:pPr>
    </w:p>
    <w:p>
      <w:pPr>
        <w:pStyle w:val="BodyText"/>
        <w:spacing w:before="42"/>
        <w:ind w:left="674" w:right="949"/>
        <w:jc w:val="center"/>
      </w:pPr>
      <w:r>
        <w:rPr/>
        <w:t>郯政办发〔2017〕23 号</w:t>
      </w:r>
    </w:p>
    <w:p>
      <w:pPr>
        <w:pStyle w:val="BodyText"/>
        <w:rPr>
          <w:sz w:val="20"/>
        </w:rPr>
      </w:pPr>
    </w:p>
    <w:p>
      <w:pPr>
        <w:pStyle w:val="BodyText"/>
        <w:spacing w:before="12"/>
        <w:rPr>
          <w:sz w:val="11"/>
        </w:rPr>
      </w:pPr>
      <w:r>
        <w:rPr/>
        <w:pict>
          <v:line style="position:absolute;mso-position-horizontal-relative:page;mso-position-vertical-relative:paragraph;z-index:-251649024;mso-wrap-distance-left:0;mso-wrap-distance-right:0" from="79.400002pt,10.902125pt" to="520.400002pt,10.902125pt" stroked="true" strokeweight="1.25pt" strokecolor="#ff0000">
            <v:stroke dashstyle="solid"/>
            <w10:wrap type="topAndBottom"/>
          </v:line>
        </w:pict>
      </w:r>
    </w:p>
    <w:p>
      <w:pPr>
        <w:pStyle w:val="BodyText"/>
        <w:spacing w:before="9"/>
        <w:rPr>
          <w:sz w:val="31"/>
        </w:rPr>
      </w:pPr>
    </w:p>
    <w:p>
      <w:pPr>
        <w:pStyle w:val="Heading1"/>
        <w:spacing w:line="669" w:lineRule="exact"/>
      </w:pPr>
      <w:r>
        <w:rPr/>
        <w:t>郯城县人民政府办公室</w:t>
      </w:r>
    </w:p>
    <w:p>
      <w:pPr>
        <w:spacing w:line="172" w:lineRule="auto" w:before="37"/>
        <w:ind w:left="732" w:right="1013" w:firstLine="0"/>
        <w:jc w:val="center"/>
        <w:rPr>
          <w:rFonts w:ascii="方正小标宋简体" w:eastAsia="方正小标宋简体" w:hint="eastAsia"/>
          <w:sz w:val="44"/>
        </w:rPr>
      </w:pPr>
      <w:r>
        <w:rPr>
          <w:rFonts w:ascii="方正小标宋简体" w:eastAsia="方正小标宋简体" w:hint="eastAsia"/>
          <w:sz w:val="44"/>
        </w:rPr>
        <w:t>关于印发《郯城县有突出贡献的中青年专家选拔管理办法》的通知</w:t>
      </w:r>
    </w:p>
    <w:p>
      <w:pPr>
        <w:pStyle w:val="BodyText"/>
        <w:spacing w:before="6"/>
        <w:rPr>
          <w:rFonts w:ascii="方正小标宋简体"/>
          <w:sz w:val="33"/>
        </w:rPr>
      </w:pPr>
    </w:p>
    <w:p>
      <w:pPr>
        <w:pStyle w:val="BodyText"/>
        <w:spacing w:line="321" w:lineRule="auto"/>
        <w:ind w:left="108" w:right="386"/>
        <w:jc w:val="both"/>
      </w:pPr>
      <w:r>
        <w:rPr/>
        <w:t>各乡镇人民政府、郯城街道办事处，县政府各部门，科级以上事业单位，省、县直驻郯各单位，郯城经济开发区管委会，马陵山景区管委会，新村银杏产业开发区管委会：</w:t>
      </w:r>
    </w:p>
    <w:p>
      <w:pPr>
        <w:pStyle w:val="BodyText"/>
        <w:spacing w:line="321" w:lineRule="auto" w:before="1"/>
        <w:ind w:left="108" w:right="389" w:firstLine="638"/>
      </w:pPr>
      <w:r>
        <w:rPr>
          <w:spacing w:val="1"/>
          <w:w w:val="95"/>
        </w:rPr>
        <w:t>《郯城县有突出贡献的中青年专家选拔管理办法》已经县 </w:t>
      </w:r>
      <w:r>
        <w:rPr/>
        <w:t>政府研究同意，现印发给你们，请认真贯彻执行。</w:t>
      </w:r>
    </w:p>
    <w:p>
      <w:pPr>
        <w:pStyle w:val="BodyText"/>
        <w:rPr>
          <w:sz w:val="36"/>
        </w:rPr>
      </w:pPr>
    </w:p>
    <w:p>
      <w:pPr>
        <w:pStyle w:val="BodyText"/>
        <w:spacing w:before="12"/>
        <w:rPr>
          <w:sz w:val="49"/>
        </w:rPr>
      </w:pPr>
    </w:p>
    <w:p>
      <w:pPr>
        <w:pStyle w:val="BodyText"/>
        <w:spacing w:line="321" w:lineRule="auto"/>
        <w:ind w:left="5547" w:right="797" w:hanging="320"/>
      </w:pPr>
      <w:r>
        <w:rPr>
          <w:spacing w:val="-2"/>
        </w:rPr>
        <w:t>郯城县人民政府办公室</w:t>
      </w:r>
      <w:r>
        <w:rPr/>
        <w:t>2017</w:t>
      </w:r>
      <w:r>
        <w:rPr>
          <w:spacing w:val="-54"/>
        </w:rPr>
        <w:t> 年 </w:t>
      </w:r>
      <w:r>
        <w:rPr/>
        <w:t>11</w:t>
      </w:r>
      <w:r>
        <w:rPr>
          <w:spacing w:val="-54"/>
        </w:rPr>
        <w:t> 月 </w:t>
      </w:r>
      <w:r>
        <w:rPr/>
        <w:t>15</w:t>
      </w:r>
      <w:r>
        <w:rPr>
          <w:spacing w:val="-40"/>
        </w:rPr>
        <w:t> 日</w:t>
      </w:r>
    </w:p>
    <w:p>
      <w:pPr>
        <w:pStyle w:val="Heading1"/>
        <w:spacing w:line="433" w:lineRule="exact"/>
        <w:ind w:right="882"/>
      </w:pPr>
      <w:r>
        <w:rPr/>
        <w:t>郯城县有突出贡献的中青年专家</w:t>
      </w:r>
    </w:p>
    <w:p>
      <w:pPr>
        <w:spacing w:line="670" w:lineRule="exact" w:before="0"/>
        <w:ind w:left="674" w:right="954" w:firstLine="0"/>
        <w:jc w:val="center"/>
        <w:rPr>
          <w:rFonts w:ascii="方正小标宋简体" w:eastAsia="方正小标宋简体" w:hint="eastAsia"/>
          <w:sz w:val="44"/>
        </w:rPr>
      </w:pPr>
      <w:r>
        <w:rPr>
          <w:rFonts w:ascii="方正小标宋简体" w:eastAsia="方正小标宋简体" w:hint="eastAsia"/>
          <w:sz w:val="44"/>
        </w:rPr>
        <w:t>选拔管理办法</w:t>
      </w:r>
    </w:p>
    <w:p>
      <w:pPr>
        <w:spacing w:after="0" w:line="670" w:lineRule="exact"/>
        <w:jc w:val="center"/>
        <w:rPr>
          <w:rFonts w:ascii="方正小标宋简体" w:eastAsia="方正小标宋简体" w:hint="eastAsia"/>
          <w:sz w:val="44"/>
        </w:rPr>
        <w:sectPr>
          <w:footerReference w:type="default" r:id="rId17"/>
          <w:pgSz w:w="11910" w:h="16840"/>
          <w:pgMar w:footer="1652" w:header="0" w:top="1580" w:bottom="1840" w:left="1480" w:right="1200"/>
          <w:pgNumType w:start="19"/>
        </w:sectPr>
      </w:pPr>
    </w:p>
    <w:p>
      <w:pPr>
        <w:pStyle w:val="BodyText"/>
        <w:rPr>
          <w:rFonts w:ascii="方正小标宋简体"/>
          <w:sz w:val="20"/>
        </w:rPr>
      </w:pPr>
    </w:p>
    <w:p>
      <w:pPr>
        <w:pStyle w:val="BodyText"/>
        <w:spacing w:before="12"/>
        <w:rPr>
          <w:rFonts w:ascii="方正小标宋简体"/>
          <w:sz w:val="21"/>
        </w:rPr>
      </w:pPr>
    </w:p>
    <w:p>
      <w:pPr>
        <w:pStyle w:val="BodyText"/>
        <w:tabs>
          <w:tab w:pos="1291" w:val="left" w:leader="none"/>
        </w:tabs>
        <w:spacing w:before="55"/>
        <w:ind w:right="280"/>
        <w:jc w:val="center"/>
        <w:rPr>
          <w:rFonts w:ascii="黑体" w:eastAsia="黑体" w:hint="eastAsia"/>
        </w:rPr>
      </w:pPr>
      <w:r>
        <w:rPr>
          <w:rFonts w:ascii="黑体" w:eastAsia="黑体" w:hint="eastAsia"/>
        </w:rPr>
        <w:t>第五章</w:t>
        <w:tab/>
        <w:t>总则</w:t>
      </w:r>
    </w:p>
    <w:p>
      <w:pPr>
        <w:pStyle w:val="BodyText"/>
        <w:rPr>
          <w:rFonts w:ascii="黑体"/>
        </w:rPr>
      </w:pPr>
    </w:p>
    <w:p>
      <w:pPr>
        <w:pStyle w:val="BodyText"/>
        <w:spacing w:before="3"/>
        <w:rPr>
          <w:rFonts w:ascii="黑体"/>
          <w:sz w:val="23"/>
        </w:rPr>
      </w:pPr>
    </w:p>
    <w:p>
      <w:pPr>
        <w:pStyle w:val="BodyText"/>
        <w:spacing w:line="300" w:lineRule="auto" w:before="1"/>
        <w:ind w:left="108" w:right="384" w:firstLine="638"/>
        <w:jc w:val="both"/>
      </w:pPr>
      <w:r>
        <w:rPr>
          <w:rFonts w:ascii="楷体_GB2312" w:hAnsi="楷体_GB2312" w:eastAsia="楷体_GB2312" w:hint="eastAsia"/>
          <w:spacing w:val="41"/>
        </w:rPr>
        <w:t>第一条 </w:t>
      </w:r>
      <w:r>
        <w:rPr/>
        <w:t>为推动“人才强县”战略的实施，进一步营造尊</w:t>
      </w:r>
      <w:r>
        <w:rPr>
          <w:spacing w:val="-1"/>
        </w:rPr>
        <w:t>重劳动、尊重知识、尊重人才、尊重创造的社会环境，充分调动广大专业技术人员的积极性，更好地为我县经济和社会发展</w:t>
      </w:r>
      <w:r>
        <w:rPr>
          <w:spacing w:val="-18"/>
          <w:w w:val="95"/>
        </w:rPr>
        <w:t>服务，根据《临沂市有突出贡献的中青年专家选拔管理办法</w:t>
      </w:r>
      <w:r>
        <w:rPr>
          <w:spacing w:val="-283"/>
          <w:w w:val="95"/>
        </w:rPr>
        <w:t>》</w:t>
      </w:r>
      <w:r>
        <w:rPr>
          <w:w w:val="95"/>
        </w:rPr>
        <w:t>（临 </w:t>
      </w:r>
      <w:r>
        <w:rPr>
          <w:spacing w:val="3"/>
        </w:rPr>
        <w:t>政办发〔</w:t>
      </w:r>
      <w:r>
        <w:rPr/>
        <w:t>2013</w:t>
      </w:r>
      <w:r>
        <w:rPr>
          <w:spacing w:val="5"/>
        </w:rPr>
        <w:t>〕</w:t>
      </w:r>
      <w:r>
        <w:rPr/>
        <w:t>27</w:t>
      </w:r>
      <w:r>
        <w:rPr>
          <w:spacing w:val="-43"/>
        </w:rPr>
        <w:t> 号</w:t>
      </w:r>
      <w:r>
        <w:rPr>
          <w:spacing w:val="-156"/>
        </w:rPr>
        <w:t>）</w:t>
      </w:r>
      <w:r>
        <w:rPr>
          <w:spacing w:val="-10"/>
        </w:rPr>
        <w:t>、《山东省有突出贡献的中青年专家选拔</w:t>
      </w:r>
      <w:r>
        <w:rPr>
          <w:spacing w:val="-35"/>
        </w:rPr>
        <w:t>管理办法》</w:t>
      </w:r>
      <w:r>
        <w:rPr/>
        <w:t>（</w:t>
      </w:r>
      <w:r>
        <w:rPr>
          <w:spacing w:val="-4"/>
        </w:rPr>
        <w:t>鲁政办发〔</w:t>
      </w:r>
      <w:r>
        <w:rPr/>
        <w:t>2017</w:t>
      </w:r>
      <w:r>
        <w:rPr>
          <w:spacing w:val="-15"/>
        </w:rPr>
        <w:t>〕</w:t>
      </w:r>
      <w:r>
        <w:rPr/>
        <w:t>43</w:t>
      </w:r>
      <w:r>
        <w:rPr>
          <w:spacing w:val="-44"/>
        </w:rPr>
        <w:t> 号</w:t>
      </w:r>
      <w:r>
        <w:rPr>
          <w:spacing w:val="-15"/>
        </w:rPr>
        <w:t>）</w:t>
      </w:r>
      <w:r>
        <w:rPr>
          <w:spacing w:val="-3"/>
        </w:rPr>
        <w:t>结合我县实际，制定本办法。</w:t>
      </w:r>
    </w:p>
    <w:p>
      <w:pPr>
        <w:pStyle w:val="BodyText"/>
        <w:spacing w:line="300" w:lineRule="auto" w:before="5"/>
        <w:ind w:left="108" w:right="386" w:firstLine="638"/>
        <w:jc w:val="both"/>
      </w:pPr>
      <w:r>
        <w:rPr>
          <w:rFonts w:ascii="楷体_GB2312" w:eastAsia="楷体_GB2312" w:hint="eastAsia"/>
        </w:rPr>
        <w:t>第二条 </w:t>
      </w:r>
      <w:r>
        <w:rPr/>
        <w:t>本办法所称郯城县有突出贡献的中青年专家，是指在企业事业单位专业技术岗位上长期从事专业技术工作，在自然科学、社会科学等领域做出突出贡献的专业技术人员。</w:t>
      </w:r>
    </w:p>
    <w:p>
      <w:pPr>
        <w:pStyle w:val="BodyText"/>
        <w:spacing w:line="300" w:lineRule="auto" w:before="2"/>
        <w:ind w:left="108" w:right="386" w:firstLine="660"/>
        <w:jc w:val="both"/>
      </w:pPr>
      <w:r>
        <w:rPr>
          <w:rFonts w:ascii="楷体_GB2312" w:eastAsia="楷体_GB2312" w:hint="eastAsia"/>
        </w:rPr>
        <w:t>第三条 </w:t>
      </w:r>
      <w:r>
        <w:rPr/>
        <w:t>郯城县有突出贡献的中青年专家每年选拔一次， 每次选拔 6 名左右，管理期限为 3 年。</w:t>
      </w:r>
    </w:p>
    <w:p>
      <w:pPr>
        <w:pStyle w:val="BodyText"/>
        <w:spacing w:line="300" w:lineRule="auto"/>
        <w:ind w:left="108" w:right="386" w:firstLine="660"/>
        <w:jc w:val="both"/>
      </w:pPr>
      <w:r>
        <w:rPr>
          <w:rFonts w:ascii="楷体_GB2312" w:eastAsia="楷体_GB2312" w:hint="eastAsia"/>
        </w:rPr>
        <w:t>第四条 </w:t>
      </w:r>
      <w:r>
        <w:rPr/>
        <w:t>郯城县有突出贡献的中青年专家的选拔管理遵循以下原则：</w:t>
      </w:r>
    </w:p>
    <w:p>
      <w:pPr>
        <w:pStyle w:val="BodyText"/>
        <w:spacing w:before="2"/>
        <w:ind w:left="747"/>
      </w:pPr>
      <w:r>
        <w:rPr/>
        <w:t>（一）服务于经济建设和社会发展的原则；</w:t>
      </w:r>
    </w:p>
    <w:p>
      <w:pPr>
        <w:pStyle w:val="BodyText"/>
        <w:spacing w:before="112"/>
        <w:ind w:left="747"/>
      </w:pPr>
      <w:r>
        <w:rPr/>
        <w:t>（二）鼓励创新、促进年轻优秀人才脱颖而出的原则；</w:t>
      </w:r>
    </w:p>
    <w:p>
      <w:pPr>
        <w:pStyle w:val="BodyText"/>
        <w:spacing w:before="111"/>
        <w:ind w:left="747"/>
      </w:pPr>
      <w:r>
        <w:rPr/>
        <w:t>（三）公开、平等、竞争、择优的原则；</w:t>
      </w:r>
    </w:p>
    <w:p>
      <w:pPr>
        <w:pStyle w:val="BodyText"/>
        <w:spacing w:before="115"/>
        <w:ind w:left="747"/>
      </w:pPr>
      <w:r>
        <w:rPr/>
        <w:t>（四）以用为本、动态管理的原则。</w:t>
      </w:r>
    </w:p>
    <w:p>
      <w:pPr>
        <w:pStyle w:val="BodyText"/>
        <w:tabs>
          <w:tab w:pos="2011" w:val="left" w:leader="none"/>
        </w:tabs>
        <w:spacing w:line="300" w:lineRule="auto" w:before="111"/>
        <w:ind w:left="108" w:right="389" w:firstLine="600"/>
      </w:pPr>
      <w:r>
        <w:rPr>
          <w:rFonts w:ascii="楷体_GB2312" w:eastAsia="楷体_GB2312" w:hint="eastAsia"/>
          <w:spacing w:val="5"/>
        </w:rPr>
        <w:t>第</w:t>
      </w:r>
      <w:r>
        <w:rPr>
          <w:rFonts w:ascii="楷体_GB2312" w:eastAsia="楷体_GB2312" w:hint="eastAsia"/>
          <w:spacing w:val="7"/>
        </w:rPr>
        <w:t>五</w:t>
      </w:r>
      <w:r>
        <w:rPr>
          <w:rFonts w:ascii="楷体_GB2312" w:eastAsia="楷体_GB2312" w:hint="eastAsia"/>
        </w:rPr>
        <w:t>条</w:t>
        <w:tab/>
      </w:r>
      <w:r>
        <w:rPr>
          <w:spacing w:val="5"/>
          <w:w w:val="95"/>
        </w:rPr>
        <w:t>县</w:t>
      </w:r>
      <w:r>
        <w:rPr>
          <w:spacing w:val="7"/>
          <w:w w:val="95"/>
        </w:rPr>
        <w:t>人</w:t>
      </w:r>
      <w:r>
        <w:rPr>
          <w:spacing w:val="5"/>
          <w:w w:val="95"/>
        </w:rPr>
        <w:t>力</w:t>
      </w:r>
      <w:r>
        <w:rPr>
          <w:spacing w:val="7"/>
          <w:w w:val="95"/>
        </w:rPr>
        <w:t>资</w:t>
      </w:r>
      <w:r>
        <w:rPr>
          <w:spacing w:val="5"/>
          <w:w w:val="95"/>
        </w:rPr>
        <w:t>源</w:t>
      </w:r>
      <w:r>
        <w:rPr>
          <w:spacing w:val="7"/>
          <w:w w:val="95"/>
        </w:rPr>
        <w:t>和</w:t>
      </w:r>
      <w:r>
        <w:rPr>
          <w:spacing w:val="5"/>
          <w:w w:val="95"/>
        </w:rPr>
        <w:t>社</w:t>
      </w:r>
      <w:r>
        <w:rPr>
          <w:spacing w:val="7"/>
          <w:w w:val="95"/>
        </w:rPr>
        <w:t>会</w:t>
      </w:r>
      <w:r>
        <w:rPr>
          <w:spacing w:val="5"/>
          <w:w w:val="95"/>
        </w:rPr>
        <w:t>保</w:t>
      </w:r>
      <w:r>
        <w:rPr>
          <w:spacing w:val="7"/>
          <w:w w:val="95"/>
        </w:rPr>
        <w:t>障</w:t>
      </w:r>
      <w:r>
        <w:rPr>
          <w:spacing w:val="5"/>
          <w:w w:val="95"/>
        </w:rPr>
        <w:t>局</w:t>
      </w:r>
      <w:r>
        <w:rPr>
          <w:spacing w:val="7"/>
          <w:w w:val="95"/>
        </w:rPr>
        <w:t>负</w:t>
      </w:r>
      <w:r>
        <w:rPr>
          <w:spacing w:val="5"/>
          <w:w w:val="95"/>
        </w:rPr>
        <w:t>责</w:t>
      </w:r>
      <w:r>
        <w:rPr>
          <w:spacing w:val="7"/>
          <w:w w:val="95"/>
        </w:rPr>
        <w:t>全</w:t>
      </w:r>
      <w:r>
        <w:rPr>
          <w:spacing w:val="5"/>
          <w:w w:val="95"/>
        </w:rPr>
        <w:t>县</w:t>
      </w:r>
      <w:r>
        <w:rPr>
          <w:spacing w:val="7"/>
          <w:w w:val="95"/>
        </w:rPr>
        <w:t>有</w:t>
      </w:r>
      <w:r>
        <w:rPr>
          <w:spacing w:val="5"/>
          <w:w w:val="95"/>
        </w:rPr>
        <w:t>突</w:t>
      </w:r>
      <w:r>
        <w:rPr>
          <w:spacing w:val="7"/>
          <w:w w:val="95"/>
        </w:rPr>
        <w:t>出</w:t>
      </w:r>
      <w:r>
        <w:rPr>
          <w:spacing w:val="5"/>
          <w:w w:val="95"/>
        </w:rPr>
        <w:t>贡</w:t>
      </w:r>
      <w:r>
        <w:rPr>
          <w:spacing w:val="7"/>
          <w:w w:val="95"/>
        </w:rPr>
        <w:t>献</w:t>
      </w:r>
      <w:r>
        <w:rPr>
          <w:spacing w:val="-14"/>
          <w:w w:val="95"/>
        </w:rPr>
        <w:t>的 </w:t>
      </w:r>
      <w:r>
        <w:rPr/>
        <w:t>中青年专家的选拔评审及综合管理服务工作。</w:t>
      </w:r>
    </w:p>
    <w:p>
      <w:pPr>
        <w:spacing w:after="0" w:line="300" w:lineRule="auto"/>
        <w:sectPr>
          <w:footerReference w:type="default" r:id="rId21"/>
          <w:pgSz w:w="11910" w:h="16840"/>
          <w:pgMar w:footer="1652" w:header="0" w:top="1580" w:bottom="1840" w:left="1480" w:right="1200"/>
          <w:pgNumType w:start="20"/>
        </w:sectPr>
      </w:pPr>
    </w:p>
    <w:p>
      <w:pPr>
        <w:pStyle w:val="BodyText"/>
        <w:rPr>
          <w:sz w:val="20"/>
        </w:rPr>
      </w:pPr>
    </w:p>
    <w:p>
      <w:pPr>
        <w:pStyle w:val="BodyText"/>
        <w:rPr>
          <w:sz w:val="20"/>
        </w:rPr>
      </w:pPr>
    </w:p>
    <w:p>
      <w:pPr>
        <w:pStyle w:val="BodyText"/>
        <w:tabs>
          <w:tab w:pos="1288" w:val="left" w:leader="none"/>
        </w:tabs>
        <w:spacing w:before="233"/>
        <w:ind w:right="280"/>
        <w:jc w:val="center"/>
        <w:rPr>
          <w:rFonts w:ascii="黑体" w:eastAsia="黑体" w:hint="eastAsia"/>
        </w:rPr>
      </w:pPr>
      <w:r>
        <w:rPr>
          <w:rFonts w:ascii="黑体" w:eastAsia="黑体" w:hint="eastAsia"/>
        </w:rPr>
        <w:t>第六章</w:t>
        <w:tab/>
        <w:t>选拔条件</w:t>
      </w:r>
    </w:p>
    <w:p>
      <w:pPr>
        <w:pStyle w:val="BodyText"/>
        <w:rPr>
          <w:rFonts w:ascii="黑体"/>
        </w:rPr>
      </w:pPr>
    </w:p>
    <w:p>
      <w:pPr>
        <w:pStyle w:val="BodyText"/>
        <w:spacing w:before="3"/>
        <w:rPr>
          <w:rFonts w:ascii="黑体"/>
          <w:sz w:val="23"/>
        </w:rPr>
      </w:pPr>
    </w:p>
    <w:p>
      <w:pPr>
        <w:pStyle w:val="BodyText"/>
        <w:spacing w:line="300" w:lineRule="auto" w:before="1"/>
        <w:ind w:left="108" w:right="386" w:firstLine="638"/>
        <w:jc w:val="both"/>
      </w:pPr>
      <w:r>
        <w:rPr>
          <w:rFonts w:ascii="楷体_GB2312" w:eastAsia="楷体_GB2312" w:hint="eastAsia"/>
        </w:rPr>
        <w:t>第六条 </w:t>
      </w:r>
      <w:r>
        <w:rPr/>
        <w:t>郯城县有突出贡献的中青年专家的选拔条件是： 热爱祖国，坚持四项基本原则，遵纪守法，有良好的职业道德和社会公德，年龄不超过 47 周岁，并符合下列条件之一：</w:t>
      </w:r>
    </w:p>
    <w:p>
      <w:pPr>
        <w:pStyle w:val="BodyText"/>
        <w:spacing w:line="300" w:lineRule="auto" w:before="2"/>
        <w:ind w:left="108" w:right="276" w:firstLine="614"/>
        <w:jc w:val="both"/>
      </w:pPr>
      <w:r>
        <w:rPr>
          <w:spacing w:val="5"/>
        </w:rPr>
        <w:t>（</w:t>
      </w:r>
      <w:r>
        <w:rPr>
          <w:spacing w:val="7"/>
        </w:rPr>
        <w:t>一</w:t>
      </w:r>
      <w:r>
        <w:rPr>
          <w:spacing w:val="5"/>
        </w:rPr>
        <w:t>）</w:t>
      </w:r>
      <w:r>
        <w:rPr>
          <w:spacing w:val="4"/>
        </w:rPr>
        <w:t>在科学技术进步活动中做出突出贡献，获得国家科</w:t>
      </w:r>
      <w:r>
        <w:rPr/>
        <w:t>学技术奖的人员；获得省(部)级科学技术奖三等奖以上的人员； </w:t>
      </w:r>
      <w:r>
        <w:rPr>
          <w:spacing w:val="-3"/>
        </w:rPr>
        <w:t>获得市科学技术奖一等奖前 </w:t>
      </w:r>
      <w:r>
        <w:rPr/>
        <w:t>3</w:t>
      </w:r>
      <w:r>
        <w:rPr>
          <w:spacing w:val="-18"/>
        </w:rPr>
        <w:t> 位、二等奖前 </w:t>
      </w:r>
      <w:r>
        <w:rPr/>
        <w:t>2</w:t>
      </w:r>
      <w:r>
        <w:rPr>
          <w:spacing w:val="-7"/>
        </w:rPr>
        <w:t> 位、三等奖首位</w:t>
      </w:r>
      <w:r>
        <w:rPr/>
        <w:t>的人员；获得县科学技术奖一等奖首位的人员；或获得发明专利，并在本县域内取得显著经济社会效益的人员；</w:t>
      </w:r>
    </w:p>
    <w:p>
      <w:pPr>
        <w:pStyle w:val="BodyText"/>
        <w:spacing w:line="300" w:lineRule="auto" w:before="3"/>
        <w:ind w:left="108" w:right="386" w:firstLine="614"/>
        <w:jc w:val="both"/>
      </w:pPr>
      <w:r>
        <w:rPr>
          <w:spacing w:val="5"/>
          <w:w w:val="95"/>
        </w:rPr>
        <w:t>（</w:t>
      </w:r>
      <w:r>
        <w:rPr>
          <w:spacing w:val="7"/>
          <w:w w:val="95"/>
        </w:rPr>
        <w:t>二</w:t>
      </w:r>
      <w:r>
        <w:rPr>
          <w:spacing w:val="5"/>
          <w:w w:val="95"/>
        </w:rPr>
        <w:t>）</w:t>
      </w:r>
      <w:r>
        <w:rPr>
          <w:spacing w:val="4"/>
          <w:w w:val="95"/>
        </w:rPr>
        <w:t>在社会科学研究方面，研究成果有独到见解，以首 </w:t>
      </w:r>
      <w:r>
        <w:rPr>
          <w:spacing w:val="-1"/>
        </w:rPr>
        <w:t>位作者出版或发表过在学术界和社会上有较大影响的学术著作或学术论文，并是省社会科学优秀成果奖的人员，获得市社会</w:t>
      </w:r>
      <w:r>
        <w:rPr>
          <w:spacing w:val="-7"/>
        </w:rPr>
        <w:t>科学优秀成果奖一等奖前 </w:t>
      </w:r>
      <w:r>
        <w:rPr/>
        <w:t>2</w:t>
      </w:r>
      <w:r>
        <w:rPr>
          <w:spacing w:val="-10"/>
        </w:rPr>
        <w:t> 位、二等奖首位的人员；</w:t>
      </w:r>
    </w:p>
    <w:p>
      <w:pPr>
        <w:pStyle w:val="BodyText"/>
        <w:spacing w:line="300" w:lineRule="auto" w:before="2"/>
        <w:ind w:left="108" w:right="321" w:firstLine="614"/>
        <w:jc w:val="both"/>
      </w:pPr>
      <w:r>
        <w:rPr/>
        <w:t>（</w:t>
      </w:r>
      <w:r>
        <w:rPr>
          <w:spacing w:val="5"/>
        </w:rPr>
        <w:t>三</w:t>
      </w:r>
      <w:r>
        <w:rPr/>
        <w:t>）学术造诣较深,被同行公认为该学科的带头人，以首位作者出版过有较高学术价值的著作或在国内外重要学术期刊上发表过有较大影响的学术论文，或被《SCI</w:t>
      </w:r>
      <w:r>
        <w:rPr>
          <w:spacing w:val="-107"/>
        </w:rPr>
        <w:t>》、《</w:t>
      </w:r>
      <w:r>
        <w:rPr/>
        <w:t>EI》等收录， 引用率较高；</w:t>
      </w:r>
    </w:p>
    <w:p>
      <w:pPr>
        <w:pStyle w:val="BodyText"/>
        <w:spacing w:line="300" w:lineRule="auto" w:before="2"/>
        <w:ind w:left="108" w:right="386" w:firstLine="638"/>
        <w:jc w:val="both"/>
      </w:pPr>
      <w:r>
        <w:rPr>
          <w:spacing w:val="5"/>
          <w:w w:val="95"/>
        </w:rPr>
        <w:t>（四）</w:t>
      </w:r>
      <w:r>
        <w:rPr>
          <w:w w:val="95"/>
        </w:rPr>
        <w:t>在完成我县重点工程、重大科技攻关和在企业技术 </w:t>
      </w:r>
      <w:r>
        <w:rPr>
          <w:spacing w:val="-1"/>
        </w:rPr>
        <w:t>改造、引进消化高新技术中，创造性地解决了重大技术难题， </w:t>
      </w:r>
      <w:r>
        <w:rPr/>
        <w:t>并取得了显著的经济效益或社会效益；</w:t>
      </w:r>
    </w:p>
    <w:p>
      <w:pPr>
        <w:pStyle w:val="BodyText"/>
        <w:spacing w:before="2"/>
        <w:ind w:left="747"/>
      </w:pPr>
      <w:r>
        <w:rPr/>
        <w:t>（五）在教书育人方面成绩卓著，获得国家或省优秀教学</w:t>
      </w:r>
    </w:p>
    <w:p>
      <w:pPr>
        <w:spacing w:after="0"/>
        <w:sectPr>
          <w:pgSz w:w="11910" w:h="16840"/>
          <w:pgMar w:header="0" w:footer="1652" w:top="1580" w:bottom="1840" w:left="1480" w:right="1200"/>
        </w:sectPr>
      </w:pPr>
    </w:p>
    <w:p>
      <w:pPr>
        <w:pStyle w:val="BodyText"/>
        <w:spacing w:before="8"/>
        <w:rPr>
          <w:sz w:val="13"/>
        </w:rPr>
      </w:pPr>
    </w:p>
    <w:p>
      <w:pPr>
        <w:pStyle w:val="BodyText"/>
        <w:spacing w:line="300" w:lineRule="auto" w:before="41"/>
        <w:ind w:left="108" w:right="384"/>
      </w:pPr>
      <w:r>
        <w:rPr>
          <w:spacing w:val="-11"/>
        </w:rPr>
        <w:t>成果奖，获得省(部)级奖励或称号的人员，或获得两项以上市级奖励或称号的人员；</w:t>
      </w:r>
    </w:p>
    <w:p>
      <w:pPr>
        <w:pStyle w:val="BodyText"/>
        <w:spacing w:line="300" w:lineRule="auto" w:before="2"/>
        <w:ind w:left="108" w:right="228" w:firstLine="638"/>
      </w:pPr>
      <w:r>
        <w:rPr>
          <w:spacing w:val="5"/>
        </w:rPr>
        <w:t>（六）</w:t>
      </w:r>
      <w:r>
        <w:rPr/>
        <w:t>长期从事医疗、疾病预防、计划生育工作，多次成</w:t>
      </w:r>
      <w:r>
        <w:rPr>
          <w:spacing w:val="-6"/>
          <w:w w:val="95"/>
        </w:rPr>
        <w:t>功地诊治疑难危重病症，或在较大范围多次有效地预防、控制、 </w:t>
      </w:r>
      <w:r>
        <w:rPr/>
        <w:t>消除疾病，成绩突出，有较大影响，获得市以上奖励或称号的医务人员；</w:t>
      </w:r>
    </w:p>
    <w:p>
      <w:pPr>
        <w:pStyle w:val="BodyText"/>
        <w:spacing w:line="300" w:lineRule="auto" w:before="2"/>
        <w:ind w:left="108" w:right="386" w:firstLine="638"/>
        <w:jc w:val="both"/>
      </w:pPr>
      <w:r>
        <w:rPr>
          <w:spacing w:val="5"/>
          <w:w w:val="95"/>
        </w:rPr>
        <w:t>（七）</w:t>
      </w:r>
      <w:r>
        <w:rPr>
          <w:w w:val="95"/>
        </w:rPr>
        <w:t>在农业成果转化和技术推广服务等方面做出优异成 </w:t>
      </w:r>
      <w:r>
        <w:rPr>
          <w:spacing w:val="-11"/>
        </w:rPr>
        <w:t>绩，有效地推动农业科技进步和农村经济发展，获得省(部)级丰</w:t>
      </w:r>
      <w:r>
        <w:rPr>
          <w:spacing w:val="-20"/>
        </w:rPr>
        <w:t>收计划奖三等奖以上的人员，或获得市级丰收计划奖一等奖前 </w:t>
      </w:r>
      <w:r>
        <w:rPr/>
        <w:t>3</w:t>
      </w:r>
    </w:p>
    <w:p>
      <w:pPr>
        <w:pStyle w:val="BodyText"/>
        <w:spacing w:before="2"/>
        <w:ind w:left="108"/>
        <w:jc w:val="both"/>
      </w:pPr>
      <w:r>
        <w:rPr/>
        <w:t>位、二等奖前 2 位、三等奖首位的人员；</w:t>
      </w:r>
    </w:p>
    <w:p>
      <w:pPr>
        <w:pStyle w:val="BodyText"/>
        <w:spacing w:line="300" w:lineRule="auto" w:before="111"/>
        <w:ind w:left="108" w:right="386" w:firstLine="638"/>
        <w:jc w:val="both"/>
      </w:pPr>
      <w:r>
        <w:rPr>
          <w:w w:val="95"/>
        </w:rPr>
        <w:t>（八）在信息、金融、财会、外经外贸、法律等领域，为 </w:t>
      </w:r>
      <w:r>
        <w:rPr/>
        <w:t>解决国民经济和社会发展的重大问题，做出突出成绩和特殊贡献，在本行业有较大影响，并获得市以上奖励的人员；</w:t>
      </w:r>
    </w:p>
    <w:p>
      <w:pPr>
        <w:pStyle w:val="BodyText"/>
        <w:spacing w:line="302" w:lineRule="auto" w:before="2"/>
        <w:ind w:left="108" w:right="389" w:firstLine="638"/>
      </w:pPr>
      <w:r>
        <w:rPr>
          <w:w w:val="95"/>
        </w:rPr>
        <w:t>（九）在新闻出版、文学艺术等领域，成绩卓著，是重点 </w:t>
      </w:r>
      <w:r>
        <w:rPr/>
        <w:t>学科或艺术门类的带头人；</w:t>
      </w:r>
    </w:p>
    <w:p>
      <w:pPr>
        <w:pStyle w:val="BodyText"/>
        <w:spacing w:line="300" w:lineRule="auto"/>
        <w:ind w:left="108" w:right="389" w:firstLine="638"/>
      </w:pPr>
      <w:r>
        <w:rPr>
          <w:w w:val="95"/>
        </w:rPr>
        <w:t>（十）在教练执训工作中成绩卓著，培养、输送的运动员 </w:t>
      </w:r>
      <w:r>
        <w:rPr/>
        <w:t>在国际、国内重大体育比赛中取得突出成绩的著名教练员；</w:t>
      </w:r>
    </w:p>
    <w:p>
      <w:pPr>
        <w:pStyle w:val="BodyText"/>
        <w:spacing w:line="300" w:lineRule="auto"/>
        <w:ind w:left="108" w:right="389" w:firstLine="638"/>
      </w:pPr>
      <w:r>
        <w:rPr>
          <w:w w:val="95"/>
        </w:rPr>
        <w:t>（十一）在其他专业技术工作中取得优异成绩，在同行中 </w:t>
      </w:r>
      <w:r>
        <w:rPr/>
        <w:t>享有很高声誉，并获得市以上奖励的人员。</w:t>
      </w:r>
    </w:p>
    <w:p>
      <w:pPr>
        <w:pStyle w:val="BodyText"/>
        <w:tabs>
          <w:tab w:pos="2011" w:val="left" w:leader="none"/>
        </w:tabs>
        <w:spacing w:line="300" w:lineRule="auto"/>
        <w:ind w:left="108" w:right="386" w:firstLine="595"/>
      </w:pPr>
      <w:r>
        <w:rPr>
          <w:rFonts w:ascii="楷体_GB2312" w:eastAsia="楷体_GB2312" w:hint="eastAsia"/>
          <w:spacing w:val="7"/>
        </w:rPr>
        <w:t>第七</w:t>
      </w:r>
      <w:r>
        <w:rPr>
          <w:rFonts w:ascii="楷体_GB2312" w:eastAsia="楷体_GB2312" w:hint="eastAsia"/>
        </w:rPr>
        <w:t>条</w:t>
        <w:tab/>
      </w:r>
      <w:r>
        <w:rPr>
          <w:spacing w:val="7"/>
        </w:rPr>
        <w:t>选拔</w:t>
      </w:r>
      <w:r>
        <w:rPr>
          <w:spacing w:val="5"/>
        </w:rPr>
        <w:t>时</w:t>
      </w:r>
      <w:r>
        <w:rPr>
          <w:spacing w:val="7"/>
        </w:rPr>
        <w:t>以</w:t>
      </w:r>
      <w:r>
        <w:rPr/>
        <w:t>近</w:t>
      </w:r>
      <w:r>
        <w:rPr>
          <w:spacing w:val="-84"/>
        </w:rPr>
        <w:t> </w:t>
      </w:r>
      <w:r>
        <w:rPr/>
        <w:t>3</w:t>
      </w:r>
      <w:r>
        <w:rPr>
          <w:spacing w:val="-81"/>
        </w:rPr>
        <w:t> </w:t>
      </w:r>
      <w:r>
        <w:rPr>
          <w:spacing w:val="7"/>
        </w:rPr>
        <w:t>年的</w:t>
      </w:r>
      <w:r>
        <w:rPr>
          <w:spacing w:val="5"/>
        </w:rPr>
        <w:t>工</w:t>
      </w:r>
      <w:r>
        <w:rPr>
          <w:spacing w:val="7"/>
        </w:rPr>
        <w:t>作实绩和成</w:t>
      </w:r>
      <w:r>
        <w:rPr>
          <w:spacing w:val="5"/>
        </w:rPr>
        <w:t>果</w:t>
      </w:r>
      <w:r>
        <w:rPr>
          <w:spacing w:val="7"/>
        </w:rPr>
        <w:t>为主要评</w:t>
      </w:r>
      <w:r>
        <w:rPr>
          <w:spacing w:val="5"/>
        </w:rPr>
        <w:t>选</w:t>
      </w:r>
      <w:r>
        <w:rPr/>
        <w:t>依据，兼顾长期贡献。</w:t>
      </w:r>
    </w:p>
    <w:p>
      <w:pPr>
        <w:pStyle w:val="BodyText"/>
        <w:tabs>
          <w:tab w:pos="1288" w:val="left" w:leader="none"/>
        </w:tabs>
        <w:spacing w:line="407" w:lineRule="exact"/>
        <w:ind w:right="280"/>
        <w:jc w:val="center"/>
        <w:rPr>
          <w:rFonts w:ascii="黑体" w:eastAsia="黑体" w:hint="eastAsia"/>
        </w:rPr>
      </w:pPr>
      <w:r>
        <w:rPr>
          <w:rFonts w:ascii="黑体" w:eastAsia="黑体" w:hint="eastAsia"/>
        </w:rPr>
        <w:t>第七章</w:t>
        <w:tab/>
        <w:t>选拔程序</w:t>
      </w:r>
    </w:p>
    <w:p>
      <w:pPr>
        <w:spacing w:after="0" w:line="407" w:lineRule="exact"/>
        <w:jc w:val="center"/>
        <w:rPr>
          <w:rFonts w:ascii="黑体" w:eastAsia="黑体" w:hint="eastAsia"/>
        </w:rPr>
        <w:sectPr>
          <w:pgSz w:w="11910" w:h="16840"/>
          <w:pgMar w:header="0" w:footer="1652" w:top="1580" w:bottom="1840" w:left="1480" w:right="1200"/>
        </w:sectPr>
      </w:pPr>
    </w:p>
    <w:p>
      <w:pPr>
        <w:pStyle w:val="BodyText"/>
        <w:spacing w:before="10"/>
        <w:rPr>
          <w:rFonts w:ascii="黑体"/>
          <w:sz w:val="13"/>
        </w:rPr>
      </w:pPr>
    </w:p>
    <w:p>
      <w:pPr>
        <w:pStyle w:val="BodyText"/>
        <w:tabs>
          <w:tab w:pos="2045" w:val="left" w:leader="none"/>
        </w:tabs>
        <w:spacing w:line="300" w:lineRule="auto" w:before="54"/>
        <w:ind w:left="108" w:right="386" w:firstLine="638"/>
      </w:pPr>
      <w:r>
        <w:rPr>
          <w:rFonts w:ascii="楷体_GB2312" w:eastAsia="楷体_GB2312" w:hint="eastAsia"/>
          <w:spacing w:val="5"/>
        </w:rPr>
        <w:t>第八</w:t>
      </w:r>
      <w:r>
        <w:rPr>
          <w:rFonts w:ascii="楷体_GB2312" w:eastAsia="楷体_GB2312" w:hint="eastAsia"/>
        </w:rPr>
        <w:t>条</w:t>
        <w:tab/>
      </w:r>
      <w:r>
        <w:rPr>
          <w:spacing w:val="5"/>
        </w:rPr>
        <w:t>郯城</w:t>
      </w:r>
      <w:r>
        <w:rPr/>
        <w:t>县</w:t>
      </w:r>
      <w:r>
        <w:rPr>
          <w:spacing w:val="5"/>
        </w:rPr>
        <w:t>有突出贡献</w:t>
      </w:r>
      <w:r>
        <w:rPr/>
        <w:t>的</w:t>
      </w:r>
      <w:r>
        <w:rPr>
          <w:spacing w:val="5"/>
        </w:rPr>
        <w:t>中青年专家</w:t>
      </w:r>
      <w:r>
        <w:rPr/>
        <w:t>的</w:t>
      </w:r>
      <w:r>
        <w:rPr>
          <w:spacing w:val="5"/>
        </w:rPr>
        <w:t>选拔，采取</w:t>
      </w:r>
      <w:r>
        <w:rPr>
          <w:spacing w:val="-16"/>
        </w:rPr>
        <w:t>自</w:t>
      </w:r>
      <w:r>
        <w:rPr>
          <w:spacing w:val="5"/>
        </w:rPr>
        <w:t>下而</w:t>
      </w:r>
      <w:r>
        <w:rPr/>
        <w:t>上</w:t>
      </w:r>
      <w:r>
        <w:rPr>
          <w:spacing w:val="5"/>
        </w:rPr>
        <w:t>逐级推</w:t>
      </w:r>
      <w:r>
        <w:rPr/>
        <w:t>荐</w:t>
      </w:r>
      <w:r>
        <w:rPr>
          <w:spacing w:val="5"/>
        </w:rPr>
        <w:t>、专家评</w:t>
      </w:r>
      <w:r>
        <w:rPr/>
        <w:t>审</w:t>
      </w:r>
      <w:r>
        <w:rPr>
          <w:spacing w:val="5"/>
        </w:rPr>
        <w:t>的方法</w:t>
      </w:r>
      <w:r>
        <w:rPr/>
        <w:t>进</w:t>
      </w:r>
      <w:r>
        <w:rPr>
          <w:spacing w:val="5"/>
        </w:rPr>
        <w:t>行。县直</w:t>
      </w:r>
      <w:r>
        <w:rPr/>
        <w:t>各</w:t>
      </w:r>
      <w:r>
        <w:rPr>
          <w:spacing w:val="5"/>
        </w:rPr>
        <w:t>业务主</w:t>
      </w:r>
      <w:r>
        <w:rPr/>
        <w:t>管</w:t>
      </w:r>
      <w:r>
        <w:rPr>
          <w:spacing w:val="5"/>
        </w:rPr>
        <w:t>部</w:t>
      </w:r>
      <w:r>
        <w:rPr>
          <w:spacing w:val="-14"/>
        </w:rPr>
        <w:t>门</w:t>
      </w:r>
    </w:p>
    <w:p>
      <w:pPr>
        <w:pStyle w:val="BodyText"/>
        <w:spacing w:line="300" w:lineRule="auto" w:before="2"/>
        <w:ind w:left="108" w:right="386"/>
      </w:pPr>
      <w:r>
        <w:rPr/>
        <w:t>（单位）组织实施郯城县有突出贡献的中青年专家参评人选的推荐工作。</w:t>
      </w:r>
    </w:p>
    <w:p>
      <w:pPr>
        <w:pStyle w:val="BodyText"/>
        <w:spacing w:line="300" w:lineRule="auto" w:before="2"/>
        <w:ind w:left="108" w:right="228" w:firstLine="638"/>
        <w:jc w:val="both"/>
      </w:pPr>
      <w:r>
        <w:rPr>
          <w:rFonts w:ascii="楷体_GB2312" w:eastAsia="楷体_GB2312" w:hint="eastAsia"/>
        </w:rPr>
        <w:t>第九条 </w:t>
      </w:r>
      <w:r>
        <w:rPr/>
        <w:t>各单位按照隶属关系和有关要求，向人社部门推荐人选。在推荐过程中，要认真组织同行专家评议，听取有关</w:t>
      </w:r>
      <w:r>
        <w:rPr>
          <w:w w:val="95"/>
        </w:rPr>
        <w:t>人员的意见，增加推荐工作的透明度，做到公开、公平、公正。</w:t>
      </w:r>
    </w:p>
    <w:p>
      <w:pPr>
        <w:pStyle w:val="BodyText"/>
        <w:spacing w:line="300" w:lineRule="auto" w:before="2"/>
        <w:ind w:left="108" w:right="386" w:firstLine="628"/>
        <w:jc w:val="both"/>
      </w:pPr>
      <w:r>
        <w:rPr>
          <w:rFonts w:ascii="楷体_GB2312" w:eastAsia="楷体_GB2312" w:hint="eastAsia"/>
        </w:rPr>
        <w:t>第十条 </w:t>
      </w:r>
      <w:r>
        <w:rPr/>
        <w:t>各有关部门(单位)根据选拔条件，对推荐人选进行审核，经单位主要领导审定后，将人选名单和有关材料报送县人社局。</w:t>
      </w:r>
    </w:p>
    <w:p>
      <w:pPr>
        <w:pStyle w:val="BodyText"/>
        <w:spacing w:before="2"/>
        <w:ind w:left="737"/>
        <w:jc w:val="both"/>
      </w:pPr>
      <w:r>
        <w:rPr>
          <w:rFonts w:ascii="楷体_GB2312" w:eastAsia="楷体_GB2312" w:hint="eastAsia"/>
        </w:rPr>
        <w:t>第十一条 </w:t>
      </w:r>
      <w:r>
        <w:rPr/>
        <w:t>郯城县有突出贡献的中青年专家的评审。</w:t>
      </w:r>
    </w:p>
    <w:p>
      <w:pPr>
        <w:pStyle w:val="BodyText"/>
        <w:spacing w:line="300" w:lineRule="auto" w:before="112"/>
        <w:ind w:left="108" w:right="384" w:firstLine="638"/>
        <w:jc w:val="both"/>
      </w:pPr>
      <w:r>
        <w:rPr>
          <w:spacing w:val="1"/>
          <w:w w:val="95"/>
        </w:rPr>
        <w:t>县人力资源和社会保障局组织成立郯城县有突出贡献的中 </w:t>
      </w:r>
      <w:r>
        <w:rPr>
          <w:spacing w:val="-12"/>
        </w:rPr>
        <w:t>青年专家评审委员会。评审委员会由 </w:t>
      </w:r>
      <w:r>
        <w:rPr/>
        <w:t>11-13</w:t>
      </w:r>
      <w:r>
        <w:rPr>
          <w:spacing w:val="-18"/>
        </w:rPr>
        <w:t> 名专家组成，设主任</w:t>
      </w:r>
    </w:p>
    <w:p>
      <w:pPr>
        <w:pStyle w:val="BodyText"/>
        <w:spacing w:line="447" w:lineRule="exact"/>
        <w:ind w:left="108"/>
        <w:jc w:val="both"/>
      </w:pPr>
      <w:r>
        <w:rPr>
          <w:spacing w:val="-26"/>
        </w:rPr>
        <w:t>委员 </w:t>
      </w:r>
      <w:r>
        <w:rPr/>
        <w:t>1</w:t>
      </w:r>
      <w:r>
        <w:rPr>
          <w:spacing w:val="-16"/>
        </w:rPr>
        <w:t> 人、副主任委员 </w:t>
      </w:r>
      <w:r>
        <w:rPr/>
        <w:t>2-3</w:t>
      </w:r>
      <w:r>
        <w:rPr>
          <w:spacing w:val="-4"/>
        </w:rPr>
        <w:t> 人。评审委员会下设若干专业评审</w:t>
      </w:r>
    </w:p>
    <w:p>
      <w:pPr>
        <w:pStyle w:val="BodyText"/>
        <w:spacing w:line="300" w:lineRule="auto" w:before="114"/>
        <w:ind w:left="108" w:right="386"/>
        <w:jc w:val="both"/>
      </w:pPr>
      <w:r>
        <w:rPr>
          <w:spacing w:val="-5"/>
        </w:rPr>
        <w:t>组，每个专业评审组由 </w:t>
      </w:r>
      <w:r>
        <w:rPr/>
        <w:t>3-5</w:t>
      </w:r>
      <w:r>
        <w:rPr>
          <w:spacing w:val="-6"/>
        </w:rPr>
        <w:t> 人组成，负责对推荐人选的申报材</w:t>
      </w:r>
      <w:r>
        <w:rPr>
          <w:spacing w:val="-1"/>
        </w:rPr>
        <w:t>料进行审核评议，提出评价意见。经评审委员会综合评审，采取无记名投票方式确定郯城县有突出贡献的中青年专家考察人</w:t>
      </w:r>
      <w:r>
        <w:rPr/>
        <w:t>选。</w:t>
      </w:r>
    </w:p>
    <w:p>
      <w:pPr>
        <w:pStyle w:val="BodyText"/>
        <w:spacing w:line="300" w:lineRule="auto" w:before="2"/>
        <w:ind w:left="108" w:right="386" w:firstLine="626"/>
        <w:jc w:val="both"/>
      </w:pPr>
      <w:r>
        <w:rPr>
          <w:rFonts w:ascii="楷体_GB2312" w:eastAsia="楷体_GB2312" w:hint="eastAsia"/>
        </w:rPr>
        <w:t>第十二条 </w:t>
      </w:r>
      <w:r>
        <w:rPr/>
        <w:t>县人力资源和社会保障局组织对评审委员会确</w:t>
      </w:r>
      <w:r>
        <w:rPr>
          <w:w w:val="95"/>
        </w:rPr>
        <w:t>定的郯城县有突出贡献的中青年专家考察人选名单予以公示</w:t>
      </w:r>
    </w:p>
    <w:p>
      <w:pPr>
        <w:pStyle w:val="BodyText"/>
        <w:spacing w:before="2"/>
        <w:ind w:left="108"/>
        <w:jc w:val="both"/>
      </w:pPr>
      <w:r>
        <w:rPr>
          <w:w w:val="99"/>
        </w:rPr>
        <w:t>（公示期为</w:t>
      </w:r>
      <w:r>
        <w:rPr>
          <w:spacing w:val="-79"/>
        </w:rPr>
        <w:t> </w:t>
      </w:r>
      <w:r>
        <w:rPr>
          <w:spacing w:val="-1"/>
          <w:w w:val="99"/>
        </w:rPr>
        <w:t>1</w:t>
      </w:r>
      <w:r>
        <w:rPr>
          <w:w w:val="99"/>
        </w:rPr>
        <w:t>0</w:t>
      </w:r>
      <w:r>
        <w:rPr>
          <w:spacing w:val="-79"/>
        </w:rPr>
        <w:t> </w:t>
      </w:r>
      <w:r>
        <w:rPr>
          <w:w w:val="99"/>
        </w:rPr>
        <w:t>天</w:t>
      </w:r>
      <w:r>
        <w:rPr>
          <w:spacing w:val="-159"/>
          <w:w w:val="99"/>
        </w:rPr>
        <w:t>）</w:t>
      </w:r>
      <w:r>
        <w:rPr>
          <w:w w:val="99"/>
        </w:rPr>
        <w:t>，进行考察。</w:t>
      </w:r>
    </w:p>
    <w:p>
      <w:pPr>
        <w:pStyle w:val="BodyText"/>
        <w:spacing w:line="300" w:lineRule="auto" w:before="111"/>
        <w:ind w:left="108" w:right="386" w:firstLine="643"/>
        <w:jc w:val="both"/>
      </w:pPr>
      <w:r>
        <w:rPr>
          <w:rFonts w:ascii="楷体_GB2312" w:eastAsia="楷体_GB2312" w:hint="eastAsia"/>
        </w:rPr>
        <w:t>第十三条 </w:t>
      </w:r>
      <w:r>
        <w:rPr/>
        <w:t>经公示无异议，报县政府批准后，予以通报表彰，颁发《郯城县有突出贡献的中青年专家》证书，并按本办</w:t>
      </w:r>
    </w:p>
    <w:p>
      <w:pPr>
        <w:spacing w:after="0" w:line="300" w:lineRule="auto"/>
        <w:jc w:val="both"/>
        <w:sectPr>
          <w:pgSz w:w="11910" w:h="16840"/>
          <w:pgMar w:header="0" w:footer="1652" w:top="1580" w:bottom="1840" w:left="1480" w:right="1200"/>
        </w:sectPr>
      </w:pPr>
    </w:p>
    <w:p>
      <w:pPr>
        <w:pStyle w:val="BodyText"/>
        <w:spacing w:before="8"/>
        <w:rPr>
          <w:sz w:val="13"/>
        </w:rPr>
      </w:pPr>
    </w:p>
    <w:p>
      <w:pPr>
        <w:pStyle w:val="BodyText"/>
        <w:spacing w:before="41"/>
        <w:ind w:left="108"/>
      </w:pPr>
      <w:r>
        <w:rPr/>
        <w:t>法的有关规定纳入管理范围。</w:t>
      </w:r>
    </w:p>
    <w:p>
      <w:pPr>
        <w:pStyle w:val="BodyText"/>
        <w:spacing w:before="2"/>
        <w:rPr>
          <w:sz w:val="48"/>
        </w:rPr>
      </w:pPr>
    </w:p>
    <w:p>
      <w:pPr>
        <w:pStyle w:val="BodyText"/>
        <w:tabs>
          <w:tab w:pos="1288" w:val="left" w:leader="none"/>
        </w:tabs>
        <w:ind w:right="277"/>
        <w:jc w:val="center"/>
        <w:rPr>
          <w:rFonts w:ascii="黑体" w:eastAsia="黑体" w:hint="eastAsia"/>
        </w:rPr>
      </w:pPr>
      <w:r>
        <w:rPr>
          <w:rFonts w:ascii="黑体" w:eastAsia="黑体" w:hint="eastAsia"/>
        </w:rPr>
        <w:t>第八章</w:t>
        <w:tab/>
        <w:t>工作生活待遇</w:t>
      </w:r>
    </w:p>
    <w:p>
      <w:pPr>
        <w:pStyle w:val="BodyText"/>
        <w:rPr>
          <w:rFonts w:ascii="黑体"/>
        </w:rPr>
      </w:pPr>
    </w:p>
    <w:p>
      <w:pPr>
        <w:pStyle w:val="BodyText"/>
        <w:spacing w:before="6"/>
        <w:rPr>
          <w:rFonts w:ascii="黑体"/>
          <w:sz w:val="23"/>
        </w:rPr>
      </w:pPr>
    </w:p>
    <w:p>
      <w:pPr>
        <w:pStyle w:val="BodyText"/>
        <w:tabs>
          <w:tab w:pos="2369" w:val="left" w:leader="none"/>
        </w:tabs>
        <w:spacing w:line="300" w:lineRule="auto"/>
        <w:ind w:left="108" w:right="386" w:firstLine="638"/>
      </w:pPr>
      <w:r>
        <w:rPr>
          <w:rFonts w:ascii="楷体_GB2312" w:eastAsia="楷体_GB2312" w:hint="eastAsia"/>
          <w:spacing w:val="5"/>
        </w:rPr>
        <w:t>第十</w:t>
      </w:r>
      <w:r>
        <w:rPr>
          <w:rFonts w:ascii="楷体_GB2312" w:eastAsia="楷体_GB2312" w:hint="eastAsia"/>
        </w:rPr>
        <w:t>四条</w:t>
        <w:tab/>
      </w:r>
      <w:r>
        <w:rPr>
          <w:spacing w:val="5"/>
        </w:rPr>
        <w:t>积极</w:t>
      </w:r>
      <w:r>
        <w:rPr/>
        <w:t>为</w:t>
      </w:r>
      <w:r>
        <w:rPr>
          <w:spacing w:val="5"/>
        </w:rPr>
        <w:t>郯城县有突</w:t>
      </w:r>
      <w:r>
        <w:rPr/>
        <w:t>出</w:t>
      </w:r>
      <w:r>
        <w:rPr>
          <w:spacing w:val="5"/>
        </w:rPr>
        <w:t>贡献的中青</w:t>
      </w:r>
      <w:r>
        <w:rPr/>
        <w:t>年</w:t>
      </w:r>
      <w:r>
        <w:rPr>
          <w:spacing w:val="5"/>
        </w:rPr>
        <w:t>专家创造</w:t>
      </w:r>
      <w:r>
        <w:rPr>
          <w:spacing w:val="-16"/>
        </w:rPr>
        <w:t>良</w:t>
      </w:r>
      <w:r>
        <w:rPr/>
        <w:t>好的工作环境和条件。</w:t>
      </w:r>
    </w:p>
    <w:p>
      <w:pPr>
        <w:pStyle w:val="BodyText"/>
        <w:spacing w:line="300" w:lineRule="auto"/>
        <w:ind w:left="108" w:right="389" w:firstLine="638"/>
      </w:pPr>
      <w:r>
        <w:rPr>
          <w:w w:val="95"/>
        </w:rPr>
        <w:t>（一）根据工作需要，所在单位要为郯城县有突出贡献的 </w:t>
      </w:r>
      <w:r>
        <w:rPr/>
        <w:t>中青年专家提供工作必需的场所和设施。</w:t>
      </w:r>
    </w:p>
    <w:p>
      <w:pPr>
        <w:pStyle w:val="BodyText"/>
        <w:spacing w:line="300" w:lineRule="auto" w:before="2"/>
        <w:ind w:left="108" w:right="386" w:firstLine="638"/>
        <w:jc w:val="both"/>
      </w:pPr>
      <w:r>
        <w:rPr>
          <w:w w:val="95"/>
        </w:rPr>
        <w:t>（二）郯城县有突出贡献的中青年专家在申报科研项目、 </w:t>
      </w:r>
      <w:r>
        <w:rPr/>
        <w:t>高新技术成果的开发应用、风险投资和科技开发资金时,有关部门和单位要优先予以立项或支持。</w:t>
      </w:r>
    </w:p>
    <w:p>
      <w:pPr>
        <w:pStyle w:val="BodyText"/>
        <w:spacing w:line="300" w:lineRule="auto" w:before="2"/>
        <w:ind w:left="108" w:right="386" w:firstLine="638"/>
        <w:jc w:val="both"/>
      </w:pPr>
      <w:r>
        <w:rPr>
          <w:w w:val="95"/>
        </w:rPr>
        <w:t>（三）有关部门和所在单位要积极支持郯城县有突出贡献 </w:t>
      </w:r>
      <w:r>
        <w:rPr/>
        <w:t>的中青年专家参加业务进修、学习，优先安排他们参与国内外学术交流、合作研究。</w:t>
      </w:r>
    </w:p>
    <w:p>
      <w:pPr>
        <w:pStyle w:val="BodyText"/>
        <w:spacing w:line="300" w:lineRule="auto" w:before="2"/>
        <w:ind w:left="108" w:right="386" w:firstLine="638"/>
        <w:jc w:val="both"/>
      </w:pPr>
      <w:r>
        <w:rPr>
          <w:w w:val="95"/>
        </w:rPr>
        <w:t>（四）对郯城县有突出贡献的中青年专家，有关部门和所 </w:t>
      </w:r>
      <w:r>
        <w:rPr/>
        <w:t>在单位要根据其特长合理使用；在重大项目咨询论证、重大课题联合攻关中，要注重发挥他们的专业特长。</w:t>
      </w:r>
    </w:p>
    <w:p>
      <w:pPr>
        <w:pStyle w:val="BodyText"/>
        <w:spacing w:line="300" w:lineRule="auto" w:before="1"/>
        <w:ind w:left="108" w:right="386" w:firstLine="614"/>
        <w:jc w:val="both"/>
      </w:pPr>
      <w:r>
        <w:rPr>
          <w:rFonts w:ascii="楷体_GB2312" w:eastAsia="楷体_GB2312" w:hint="eastAsia"/>
        </w:rPr>
        <w:t>第十五条 </w:t>
      </w:r>
      <w:r>
        <w:rPr/>
        <w:t>对郯城县有突出贡献的中青年专家在生活上关心照顾。</w:t>
      </w:r>
    </w:p>
    <w:p>
      <w:pPr>
        <w:pStyle w:val="BodyText"/>
        <w:spacing w:line="300" w:lineRule="auto"/>
        <w:ind w:left="108" w:right="386" w:firstLine="614"/>
        <w:jc w:val="both"/>
      </w:pPr>
      <w:r>
        <w:rPr>
          <w:spacing w:val="5"/>
          <w:w w:val="95"/>
        </w:rPr>
        <w:t>（</w:t>
      </w:r>
      <w:r>
        <w:rPr>
          <w:spacing w:val="7"/>
          <w:w w:val="95"/>
        </w:rPr>
        <w:t>一</w:t>
      </w:r>
      <w:r>
        <w:rPr>
          <w:spacing w:val="5"/>
          <w:w w:val="95"/>
        </w:rPr>
        <w:t>）</w:t>
      </w:r>
      <w:r>
        <w:rPr>
          <w:spacing w:val="4"/>
          <w:w w:val="95"/>
        </w:rPr>
        <w:t>郯城县有突出贡献的中青年专家在管理期间，由县 </w:t>
      </w:r>
      <w:r>
        <w:rPr>
          <w:spacing w:val="-3"/>
        </w:rPr>
        <w:t>财政每人每月发给县政府津贴 </w:t>
      </w:r>
      <w:r>
        <w:rPr/>
        <w:t>800</w:t>
      </w:r>
      <w:r>
        <w:rPr>
          <w:spacing w:val="-5"/>
        </w:rPr>
        <w:t> 元。由县财政列入预算，统</w:t>
      </w:r>
      <w:r>
        <w:rPr/>
        <w:t>一拨付县人社局发放。</w:t>
      </w:r>
    </w:p>
    <w:p>
      <w:pPr>
        <w:pStyle w:val="BodyText"/>
        <w:spacing w:before="2"/>
        <w:ind w:left="747"/>
      </w:pPr>
      <w:r>
        <w:rPr/>
        <w:t>（二）郯城县有突出贡献的中青年专家在管理期间，享受</w:t>
      </w:r>
    </w:p>
    <w:p>
      <w:pPr>
        <w:spacing w:after="0"/>
        <w:sectPr>
          <w:pgSz w:w="11910" w:h="16840"/>
          <w:pgMar w:header="0" w:footer="1652" w:top="1580" w:bottom="1840" w:left="1480" w:right="1200"/>
        </w:sectPr>
      </w:pPr>
    </w:p>
    <w:p>
      <w:pPr>
        <w:pStyle w:val="BodyText"/>
        <w:spacing w:before="8"/>
        <w:rPr>
          <w:sz w:val="13"/>
        </w:rPr>
      </w:pPr>
    </w:p>
    <w:p>
      <w:pPr>
        <w:pStyle w:val="BodyText"/>
        <w:spacing w:line="300" w:lineRule="auto" w:before="41"/>
        <w:ind w:left="108" w:right="386"/>
        <w:jc w:val="both"/>
      </w:pPr>
      <w:r>
        <w:rPr/>
        <w:t>当地医疗保健待遇，由卫生、人社部门予以落实。所在单位每年组织郯城县有突出贡献的中青年专家进行一次健康查体，所需经费由所在单位负责。</w:t>
      </w:r>
    </w:p>
    <w:p>
      <w:pPr>
        <w:pStyle w:val="BodyText"/>
        <w:spacing w:line="300" w:lineRule="auto" w:before="2"/>
        <w:ind w:left="108" w:right="338" w:firstLine="638"/>
        <w:jc w:val="both"/>
      </w:pPr>
      <w:r>
        <w:rPr>
          <w:spacing w:val="5"/>
        </w:rPr>
        <w:t>（三）</w:t>
      </w:r>
      <w:r>
        <w:rPr/>
        <w:t>所在单位每年为郯城县有突出贡献的中青年专家安</w:t>
      </w:r>
      <w:r>
        <w:rPr>
          <w:spacing w:val="-43"/>
        </w:rPr>
        <w:t>排 </w:t>
      </w:r>
      <w:r>
        <w:rPr/>
        <w:t>20</w:t>
      </w:r>
      <w:r>
        <w:rPr>
          <w:spacing w:val="-10"/>
        </w:rPr>
        <w:t> 天的休养。有寒暑假和休假制度的单位，在假期内安排， </w:t>
      </w:r>
      <w:r>
        <w:rPr/>
        <w:t>假期不够的予以补足。休养期间所花费用，依据现行财务管理制度由所在单位按因公出差报销。</w:t>
      </w:r>
    </w:p>
    <w:p>
      <w:pPr>
        <w:pStyle w:val="BodyText"/>
        <w:spacing w:line="300" w:lineRule="auto" w:before="1"/>
        <w:ind w:left="108" w:right="386" w:firstLine="638"/>
        <w:jc w:val="both"/>
      </w:pPr>
      <w:r>
        <w:rPr>
          <w:w w:val="95"/>
        </w:rPr>
        <w:t>（四）郯城县有突出贡献的中青年专家的配偶和未婚子女 </w:t>
      </w:r>
      <w:r>
        <w:rPr/>
        <w:t>愿意到专家单位所在地落户的，由专家本人提出申请，公安部门可凭《郯城县有突出贡献的中青年专家》证书为其办理户口迁移手续。配偶、子女待业、待岗的，主管部门和所在单位积极为其就业创造条件。</w:t>
      </w:r>
    </w:p>
    <w:p>
      <w:pPr>
        <w:pStyle w:val="BodyText"/>
        <w:spacing w:before="6"/>
        <w:rPr>
          <w:sz w:val="40"/>
        </w:rPr>
      </w:pPr>
    </w:p>
    <w:p>
      <w:pPr>
        <w:pStyle w:val="BodyText"/>
        <w:tabs>
          <w:tab w:pos="1291" w:val="left" w:leader="none"/>
        </w:tabs>
        <w:spacing w:before="1"/>
        <w:ind w:right="280"/>
        <w:jc w:val="center"/>
        <w:rPr>
          <w:rFonts w:ascii="黑体" w:eastAsia="黑体" w:hint="eastAsia"/>
        </w:rPr>
      </w:pPr>
      <w:r>
        <w:rPr>
          <w:rFonts w:ascii="黑体" w:eastAsia="黑体" w:hint="eastAsia"/>
        </w:rPr>
        <w:t>第七章</w:t>
        <w:tab/>
        <w:t>考核与联系</w:t>
      </w:r>
    </w:p>
    <w:p>
      <w:pPr>
        <w:pStyle w:val="BodyText"/>
        <w:rPr>
          <w:rFonts w:ascii="黑体"/>
        </w:rPr>
      </w:pPr>
    </w:p>
    <w:p>
      <w:pPr>
        <w:pStyle w:val="BodyText"/>
        <w:spacing w:before="3"/>
        <w:rPr>
          <w:rFonts w:ascii="黑体"/>
          <w:sz w:val="23"/>
        </w:rPr>
      </w:pPr>
    </w:p>
    <w:p>
      <w:pPr>
        <w:pStyle w:val="BodyText"/>
        <w:ind w:left="751"/>
        <w:jc w:val="both"/>
      </w:pPr>
      <w:r>
        <w:rPr>
          <w:rFonts w:ascii="楷体_GB2312" w:eastAsia="楷体_GB2312" w:hint="eastAsia"/>
        </w:rPr>
        <w:t>第十六条 </w:t>
      </w:r>
      <w:r>
        <w:rPr/>
        <w:t>建立业绩考核和联系制度。</w:t>
      </w:r>
    </w:p>
    <w:p>
      <w:pPr>
        <w:pStyle w:val="BodyText"/>
        <w:spacing w:line="300" w:lineRule="auto" w:before="112"/>
        <w:ind w:left="108" w:right="386" w:firstLine="643"/>
        <w:jc w:val="both"/>
      </w:pPr>
      <w:r>
        <w:rPr>
          <w:spacing w:val="5"/>
        </w:rPr>
        <w:t>（一</w:t>
      </w:r>
      <w:r>
        <w:rPr/>
        <w:t>）建立郯城县有突出贡献的中青年专家档案。对管理</w:t>
      </w:r>
      <w:r>
        <w:rPr>
          <w:spacing w:val="-1"/>
        </w:rPr>
        <w:t>期内的郯城县有突出贡献的中青年专家，根据工作实际，由单</w:t>
      </w:r>
      <w:r>
        <w:rPr>
          <w:spacing w:val="-7"/>
        </w:rPr>
        <w:t>位和个人共同制定 </w:t>
      </w:r>
      <w:r>
        <w:rPr/>
        <w:t>3</w:t>
      </w:r>
      <w:r>
        <w:rPr>
          <w:spacing w:val="-7"/>
        </w:rPr>
        <w:t> 年管理目标和年度计划，报县人力资源和</w:t>
      </w:r>
      <w:r>
        <w:rPr/>
        <w:t>社会保障局与主管部门备案。</w:t>
      </w:r>
    </w:p>
    <w:p>
      <w:pPr>
        <w:pStyle w:val="BodyText"/>
        <w:spacing w:line="300" w:lineRule="auto" w:before="4"/>
        <w:ind w:left="108" w:right="386" w:firstLine="638"/>
        <w:jc w:val="both"/>
      </w:pPr>
      <w:r>
        <w:rPr>
          <w:w w:val="95"/>
        </w:rPr>
        <w:t>（二）建立考核制度。按照郯城县有突出贡献的中青年专 </w:t>
      </w:r>
      <w:r>
        <w:rPr/>
        <w:t>家年度管理计划和目标，每年年终由主管部门和所在单位进行一次认真考核，考核结果记入郯城县有突出贡献的中青年专家</w:t>
      </w:r>
    </w:p>
    <w:p>
      <w:pPr>
        <w:spacing w:after="0" w:line="300" w:lineRule="auto"/>
        <w:jc w:val="both"/>
        <w:sectPr>
          <w:pgSz w:w="11910" w:h="16840"/>
          <w:pgMar w:header="0" w:footer="1652" w:top="1580" w:bottom="1840" w:left="1480" w:right="1200"/>
        </w:sectPr>
      </w:pPr>
    </w:p>
    <w:p>
      <w:pPr>
        <w:pStyle w:val="BodyText"/>
        <w:spacing w:before="8"/>
        <w:rPr>
          <w:sz w:val="13"/>
        </w:rPr>
      </w:pPr>
    </w:p>
    <w:p>
      <w:pPr>
        <w:pStyle w:val="BodyText"/>
        <w:spacing w:line="300" w:lineRule="auto" w:before="41"/>
        <w:ind w:left="108" w:right="386"/>
        <w:jc w:val="both"/>
      </w:pPr>
      <w:r>
        <w:rPr/>
        <w:t>档案，同时写出管理工作报告，报县人力资源和社会保障局。县人力资源和社会保障局将不定期地对各单位的管理情况进行检查。</w:t>
      </w:r>
    </w:p>
    <w:p>
      <w:pPr>
        <w:pStyle w:val="BodyText"/>
        <w:spacing w:line="300" w:lineRule="auto" w:before="2"/>
        <w:ind w:left="108" w:right="386" w:firstLine="638"/>
        <w:jc w:val="both"/>
      </w:pPr>
      <w:r>
        <w:rPr>
          <w:w w:val="95"/>
        </w:rPr>
        <w:t>（三）将郯城县有突出贡献的中青年专家纳入郯城县高层 </w:t>
      </w:r>
      <w:r>
        <w:rPr/>
        <w:t>次人才信息库管理。县人力资源和社会保障局对郯城县有突出贡献的中青年专家的有关情况立卷存档，并建立经常性的联系制度，及时为其提供必要的服务。</w:t>
      </w:r>
    </w:p>
    <w:p>
      <w:pPr>
        <w:pStyle w:val="BodyText"/>
        <w:spacing w:line="302" w:lineRule="auto" w:before="1"/>
        <w:ind w:left="108" w:right="389" w:firstLine="638"/>
      </w:pPr>
      <w:r>
        <w:rPr>
          <w:spacing w:val="5"/>
          <w:w w:val="95"/>
        </w:rPr>
        <w:t>（四）</w:t>
      </w:r>
      <w:r>
        <w:rPr>
          <w:w w:val="95"/>
        </w:rPr>
        <w:t>郯城县有突出贡献的中青年专家应积极参加政府有 </w:t>
      </w:r>
      <w:r>
        <w:rPr/>
        <w:t>关部门组织的公益性活动，发挥专长。</w:t>
      </w:r>
    </w:p>
    <w:p>
      <w:pPr>
        <w:pStyle w:val="BodyText"/>
        <w:spacing w:line="300" w:lineRule="auto"/>
        <w:ind w:left="108" w:right="386" w:firstLine="600"/>
        <w:jc w:val="both"/>
      </w:pPr>
      <w:r>
        <w:rPr>
          <w:rFonts w:ascii="楷体_GB2312" w:eastAsia="楷体_GB2312" w:hint="eastAsia"/>
          <w:spacing w:val="33"/>
        </w:rPr>
        <w:t>第十七条 </w:t>
      </w:r>
      <w:r>
        <w:rPr>
          <w:spacing w:val="4"/>
        </w:rPr>
        <w:t>郯城县有突出贡献的中青年专家在管理期间， </w:t>
      </w:r>
      <w:r>
        <w:rPr>
          <w:spacing w:val="-1"/>
        </w:rPr>
        <w:t>在县内变动工作单位的，主管部门要及时报县人社局备案，调往县外的要事先报告县人力资源和社会保障局。凡属下列情况之一的，自情况发生之日的下个月起停发县政府津贴，不再按</w:t>
      </w:r>
      <w:r>
        <w:rPr/>
        <w:t>郯城县有突出贡献的中青年专家管理。</w:t>
      </w:r>
    </w:p>
    <w:p>
      <w:pPr>
        <w:pStyle w:val="BodyText"/>
        <w:ind w:left="708"/>
      </w:pPr>
      <w:r>
        <w:rPr/>
        <w:t>（一）被选拔为市以上有突出贡献中青年专家的；</w:t>
      </w:r>
    </w:p>
    <w:p>
      <w:pPr>
        <w:pStyle w:val="BodyText"/>
        <w:spacing w:before="109"/>
        <w:ind w:left="708"/>
      </w:pPr>
      <w:r>
        <w:rPr/>
        <w:t>（二）不再主要从事专业技术工作的；</w:t>
      </w:r>
    </w:p>
    <w:p>
      <w:pPr>
        <w:pStyle w:val="BodyText"/>
        <w:spacing w:before="112"/>
        <w:ind w:left="708"/>
      </w:pPr>
      <w:r>
        <w:rPr/>
        <w:t>（三）调往县外工作的；</w:t>
      </w:r>
    </w:p>
    <w:p>
      <w:pPr>
        <w:pStyle w:val="BodyText"/>
        <w:spacing w:before="114"/>
        <w:ind w:left="708"/>
      </w:pPr>
      <w:r>
        <w:rPr/>
        <w:t>（四）未经组织同意，出国逾期不归的；</w:t>
      </w:r>
    </w:p>
    <w:p>
      <w:pPr>
        <w:pStyle w:val="BodyText"/>
        <w:spacing w:line="300" w:lineRule="auto" w:before="112"/>
        <w:ind w:left="108" w:right="386" w:firstLine="600"/>
      </w:pPr>
      <w:r>
        <w:rPr>
          <w:spacing w:val="7"/>
          <w:w w:val="95"/>
        </w:rPr>
        <w:t>（</w:t>
      </w:r>
      <w:r>
        <w:rPr>
          <w:spacing w:val="5"/>
          <w:w w:val="95"/>
        </w:rPr>
        <w:t>五</w:t>
      </w:r>
      <w:r>
        <w:rPr>
          <w:spacing w:val="7"/>
          <w:w w:val="95"/>
        </w:rPr>
        <w:t>）</w:t>
      </w:r>
      <w:r>
        <w:rPr>
          <w:spacing w:val="4"/>
          <w:w w:val="95"/>
        </w:rPr>
        <w:t>学术造假、考核不合格等其他原因不宜再作为有突 </w:t>
      </w:r>
      <w:r>
        <w:rPr/>
        <w:t>出贡献的中青年专家管理的。</w:t>
      </w:r>
    </w:p>
    <w:p>
      <w:pPr>
        <w:pStyle w:val="BodyText"/>
        <w:tabs>
          <w:tab w:pos="2338" w:val="left" w:leader="none"/>
        </w:tabs>
        <w:spacing w:line="300" w:lineRule="auto" w:before="2"/>
        <w:ind w:left="108" w:right="228" w:firstLine="600"/>
      </w:pPr>
      <w:r>
        <w:rPr>
          <w:rFonts w:ascii="楷体_GB2312" w:eastAsia="楷体_GB2312" w:hint="eastAsia"/>
          <w:spacing w:val="5"/>
        </w:rPr>
        <w:t>第</w:t>
      </w:r>
      <w:r>
        <w:rPr>
          <w:rFonts w:ascii="楷体_GB2312" w:eastAsia="楷体_GB2312" w:hint="eastAsia"/>
          <w:spacing w:val="7"/>
        </w:rPr>
        <w:t>十</w:t>
      </w:r>
      <w:r>
        <w:rPr>
          <w:rFonts w:ascii="楷体_GB2312" w:eastAsia="楷体_GB2312" w:hint="eastAsia"/>
          <w:spacing w:val="5"/>
        </w:rPr>
        <w:t>八</w:t>
      </w:r>
      <w:r>
        <w:rPr>
          <w:rFonts w:ascii="楷体_GB2312" w:eastAsia="楷体_GB2312" w:hint="eastAsia"/>
        </w:rPr>
        <w:t>条</w:t>
        <w:tab/>
      </w:r>
      <w:r>
        <w:rPr>
          <w:spacing w:val="5"/>
        </w:rPr>
        <w:t>郯</w:t>
      </w:r>
      <w:r>
        <w:rPr>
          <w:spacing w:val="7"/>
        </w:rPr>
        <w:t>城</w:t>
      </w:r>
      <w:r>
        <w:rPr>
          <w:spacing w:val="5"/>
        </w:rPr>
        <w:t>县</w:t>
      </w:r>
      <w:r>
        <w:rPr>
          <w:spacing w:val="7"/>
        </w:rPr>
        <w:t>有</w:t>
      </w:r>
      <w:r>
        <w:rPr>
          <w:spacing w:val="5"/>
        </w:rPr>
        <w:t>突</w:t>
      </w:r>
      <w:r>
        <w:rPr>
          <w:spacing w:val="7"/>
        </w:rPr>
        <w:t>出</w:t>
      </w:r>
      <w:r>
        <w:rPr>
          <w:spacing w:val="5"/>
        </w:rPr>
        <w:t>贡</w:t>
      </w:r>
      <w:r>
        <w:rPr>
          <w:spacing w:val="7"/>
        </w:rPr>
        <w:t>献</w:t>
      </w:r>
      <w:r>
        <w:rPr>
          <w:spacing w:val="5"/>
        </w:rPr>
        <w:t>的</w:t>
      </w:r>
      <w:r>
        <w:rPr>
          <w:spacing w:val="7"/>
        </w:rPr>
        <w:t>中</w:t>
      </w:r>
      <w:r>
        <w:rPr>
          <w:spacing w:val="5"/>
        </w:rPr>
        <w:t>青</w:t>
      </w:r>
      <w:r>
        <w:rPr>
          <w:spacing w:val="7"/>
        </w:rPr>
        <w:t>年</w:t>
      </w:r>
      <w:r>
        <w:rPr>
          <w:spacing w:val="5"/>
        </w:rPr>
        <w:t>专</w:t>
      </w:r>
      <w:r>
        <w:rPr>
          <w:spacing w:val="7"/>
        </w:rPr>
        <w:t>家</w:t>
      </w:r>
      <w:r>
        <w:rPr>
          <w:spacing w:val="5"/>
        </w:rPr>
        <w:t>在</w:t>
      </w:r>
      <w:r>
        <w:rPr>
          <w:spacing w:val="7"/>
        </w:rPr>
        <w:t>管</w:t>
      </w:r>
      <w:r>
        <w:rPr>
          <w:spacing w:val="5"/>
        </w:rPr>
        <w:t>理</w:t>
      </w:r>
      <w:r>
        <w:rPr>
          <w:spacing w:val="7"/>
        </w:rPr>
        <w:t>期</w:t>
      </w:r>
      <w:r>
        <w:rPr>
          <w:spacing w:val="5"/>
        </w:rPr>
        <w:t>间</w:t>
      </w:r>
      <w:r>
        <w:rPr/>
        <w:t>， </w:t>
      </w:r>
      <w:r>
        <w:rPr>
          <w:w w:val="95"/>
        </w:rPr>
        <w:t>凡有下列情况之一的</w:t>
      </w:r>
      <w:r>
        <w:rPr>
          <w:spacing w:val="-36"/>
          <w:w w:val="95"/>
        </w:rPr>
        <w:t>，</w:t>
      </w:r>
      <w:r>
        <w:rPr>
          <w:w w:val="95"/>
        </w:rPr>
        <w:t>由所在单位提出意见</w:t>
      </w:r>
      <w:r>
        <w:rPr>
          <w:spacing w:val="-34"/>
          <w:w w:val="95"/>
        </w:rPr>
        <w:t>，</w:t>
      </w:r>
      <w:r>
        <w:rPr>
          <w:w w:val="95"/>
        </w:rPr>
        <w:t>主管部门同意后， </w:t>
      </w:r>
      <w:r>
        <w:rPr>
          <w:spacing w:val="5"/>
        </w:rPr>
        <w:t>经县</w:t>
      </w:r>
      <w:r>
        <w:rPr/>
        <w:t>人</w:t>
      </w:r>
      <w:r>
        <w:rPr>
          <w:spacing w:val="5"/>
        </w:rPr>
        <w:t>力资源</w:t>
      </w:r>
      <w:r>
        <w:rPr/>
        <w:t>和</w:t>
      </w:r>
      <w:r>
        <w:rPr>
          <w:spacing w:val="5"/>
        </w:rPr>
        <w:t>社会保障</w:t>
      </w:r>
      <w:r>
        <w:rPr/>
        <w:t>局</w:t>
      </w:r>
      <w:r>
        <w:rPr>
          <w:spacing w:val="5"/>
        </w:rPr>
        <w:t>核实，</w:t>
      </w:r>
      <w:r>
        <w:rPr/>
        <w:t>报</w:t>
      </w:r>
      <w:r>
        <w:rPr>
          <w:spacing w:val="5"/>
        </w:rPr>
        <w:t>请县政府</w:t>
      </w:r>
      <w:r>
        <w:rPr/>
        <w:t>批</w:t>
      </w:r>
      <w:r>
        <w:rPr>
          <w:spacing w:val="5"/>
        </w:rPr>
        <w:t>准，取</w:t>
      </w:r>
      <w:r>
        <w:rPr/>
        <w:t>消</w:t>
      </w:r>
      <w:r>
        <w:rPr>
          <w:spacing w:val="5"/>
        </w:rPr>
        <w:t>其</w:t>
      </w:r>
      <w:r>
        <w:rPr/>
        <w:t>郯</w:t>
      </w:r>
    </w:p>
    <w:p>
      <w:pPr>
        <w:spacing w:after="0" w:line="300" w:lineRule="auto"/>
        <w:sectPr>
          <w:pgSz w:w="11910" w:h="16840"/>
          <w:pgMar w:header="0" w:footer="1652" w:top="1580" w:bottom="1840" w:left="1480" w:right="1200"/>
        </w:sectPr>
      </w:pPr>
    </w:p>
    <w:p>
      <w:pPr>
        <w:pStyle w:val="BodyText"/>
        <w:spacing w:before="8"/>
        <w:rPr>
          <w:sz w:val="13"/>
        </w:rPr>
      </w:pPr>
    </w:p>
    <w:p>
      <w:pPr>
        <w:pStyle w:val="BodyText"/>
        <w:spacing w:before="41"/>
        <w:ind w:left="108"/>
      </w:pPr>
      <w:r>
        <w:rPr/>
        <w:t>城县有突出贡献的中青年专家称号和有关待遇。</w:t>
      </w:r>
    </w:p>
    <w:p>
      <w:pPr>
        <w:pStyle w:val="BodyText"/>
        <w:spacing w:line="302" w:lineRule="auto" w:before="112"/>
        <w:ind w:left="108" w:right="386" w:firstLine="600"/>
      </w:pPr>
      <w:r>
        <w:rPr>
          <w:spacing w:val="7"/>
          <w:w w:val="95"/>
        </w:rPr>
        <w:t>（</w:t>
      </w:r>
      <w:r>
        <w:rPr>
          <w:spacing w:val="5"/>
          <w:w w:val="95"/>
        </w:rPr>
        <w:t>一</w:t>
      </w:r>
      <w:r>
        <w:rPr>
          <w:spacing w:val="7"/>
          <w:w w:val="95"/>
        </w:rPr>
        <w:t>）</w:t>
      </w:r>
      <w:r>
        <w:rPr>
          <w:spacing w:val="4"/>
          <w:w w:val="95"/>
        </w:rPr>
        <w:t>弄虚作假，谎报成果，采取不正当手段骗取郯城县 </w:t>
      </w:r>
      <w:r>
        <w:rPr/>
        <w:t>有突出贡献的中青年专家称号的；</w:t>
      </w:r>
    </w:p>
    <w:p>
      <w:pPr>
        <w:pStyle w:val="BodyText"/>
        <w:spacing w:line="300" w:lineRule="auto"/>
        <w:ind w:left="108" w:right="386" w:firstLine="600"/>
      </w:pPr>
      <w:r>
        <w:rPr>
          <w:spacing w:val="7"/>
          <w:w w:val="95"/>
        </w:rPr>
        <w:t>（</w:t>
      </w:r>
      <w:r>
        <w:rPr>
          <w:spacing w:val="5"/>
          <w:w w:val="95"/>
        </w:rPr>
        <w:t>二</w:t>
      </w:r>
      <w:r>
        <w:rPr>
          <w:spacing w:val="7"/>
          <w:w w:val="95"/>
        </w:rPr>
        <w:t>）</w:t>
      </w:r>
      <w:r>
        <w:rPr>
          <w:spacing w:val="4"/>
          <w:w w:val="95"/>
        </w:rPr>
        <w:t>被追究刑事责任，因个人过失给国家、集体、他人 </w:t>
      </w:r>
      <w:r>
        <w:rPr/>
        <w:t>造成重大损失或严重后果的；</w:t>
      </w:r>
    </w:p>
    <w:p>
      <w:pPr>
        <w:pStyle w:val="BodyText"/>
        <w:spacing w:line="300" w:lineRule="auto"/>
        <w:ind w:left="108" w:right="386" w:firstLine="600"/>
      </w:pPr>
      <w:r>
        <w:rPr>
          <w:spacing w:val="7"/>
          <w:w w:val="95"/>
        </w:rPr>
        <w:t>（</w:t>
      </w:r>
      <w:r>
        <w:rPr>
          <w:spacing w:val="5"/>
          <w:w w:val="95"/>
        </w:rPr>
        <w:t>三</w:t>
      </w:r>
      <w:r>
        <w:rPr>
          <w:spacing w:val="7"/>
          <w:w w:val="95"/>
        </w:rPr>
        <w:t>）</w:t>
      </w:r>
      <w:r>
        <w:rPr>
          <w:spacing w:val="4"/>
          <w:w w:val="95"/>
        </w:rPr>
        <w:t>其他原因不宜继续作为郯城县有突出贡献的中青年 </w:t>
      </w:r>
      <w:r>
        <w:rPr/>
        <w:t>专家管理的。</w:t>
      </w:r>
    </w:p>
    <w:p>
      <w:pPr>
        <w:pStyle w:val="BodyText"/>
        <w:spacing w:before="10"/>
        <w:rPr>
          <w:sz w:val="39"/>
        </w:rPr>
      </w:pPr>
    </w:p>
    <w:p>
      <w:pPr>
        <w:pStyle w:val="BodyText"/>
        <w:tabs>
          <w:tab w:pos="1291" w:val="left" w:leader="none"/>
        </w:tabs>
        <w:spacing w:before="1"/>
        <w:ind w:right="280"/>
        <w:jc w:val="center"/>
        <w:rPr>
          <w:rFonts w:ascii="黑体" w:eastAsia="黑体" w:hint="eastAsia"/>
        </w:rPr>
      </w:pPr>
      <w:r>
        <w:rPr>
          <w:rFonts w:ascii="黑体" w:eastAsia="黑体" w:hint="eastAsia"/>
        </w:rPr>
        <w:t>第八章</w:t>
        <w:tab/>
        <w:t>附则</w:t>
      </w:r>
    </w:p>
    <w:p>
      <w:pPr>
        <w:pStyle w:val="BodyText"/>
        <w:rPr>
          <w:rFonts w:ascii="黑体"/>
        </w:rPr>
      </w:pPr>
    </w:p>
    <w:p>
      <w:pPr>
        <w:pStyle w:val="BodyText"/>
        <w:spacing w:before="6"/>
        <w:rPr>
          <w:rFonts w:ascii="黑体"/>
          <w:sz w:val="23"/>
        </w:rPr>
      </w:pPr>
    </w:p>
    <w:p>
      <w:pPr>
        <w:pStyle w:val="BodyText"/>
        <w:tabs>
          <w:tab w:pos="2309" w:val="left" w:leader="none"/>
        </w:tabs>
        <w:ind w:left="708"/>
      </w:pPr>
      <w:r>
        <w:rPr>
          <w:rFonts w:ascii="楷体_GB2312" w:eastAsia="楷体_GB2312" w:hint="eastAsia"/>
        </w:rPr>
        <w:t>第十九条</w:t>
        <w:tab/>
      </w:r>
      <w:r>
        <w:rPr/>
        <w:t>本办法</w:t>
      </w:r>
      <w:r>
        <w:rPr>
          <w:spacing w:val="45"/>
        </w:rPr>
        <w:t>自</w:t>
      </w:r>
      <w:r>
        <w:rPr/>
        <w:t>2017</w:t>
      </w:r>
      <w:r>
        <w:rPr>
          <w:spacing w:val="-118"/>
        </w:rPr>
        <w:t> </w:t>
      </w:r>
      <w:r>
        <w:rPr>
          <w:spacing w:val="43"/>
        </w:rPr>
        <w:t>年</w:t>
      </w:r>
      <w:r>
        <w:rPr/>
        <w:t>12</w:t>
      </w:r>
      <w:r>
        <w:rPr>
          <w:spacing w:val="-120"/>
        </w:rPr>
        <w:t> </w:t>
      </w:r>
      <w:r>
        <w:rPr>
          <w:spacing w:val="43"/>
        </w:rPr>
        <w:t>月</w:t>
      </w:r>
      <w:r>
        <w:rPr/>
        <w:t>1</w:t>
      </w:r>
      <w:r>
        <w:rPr>
          <w:spacing w:val="-118"/>
        </w:rPr>
        <w:t> </w:t>
      </w:r>
      <w:r>
        <w:rPr/>
        <w:t>日起施行</w:t>
      </w:r>
      <w:r>
        <w:rPr>
          <w:spacing w:val="-159"/>
        </w:rPr>
        <w:t>，</w:t>
      </w:r>
      <w:r>
        <w:rPr/>
        <w:t>有效期</w:t>
      </w:r>
      <w:r>
        <w:rPr>
          <w:spacing w:val="45"/>
        </w:rPr>
        <w:t>至</w:t>
      </w:r>
      <w:r>
        <w:rPr/>
        <w:t>2022</w:t>
      </w:r>
    </w:p>
    <w:p>
      <w:pPr>
        <w:pStyle w:val="BodyText"/>
        <w:spacing w:line="300" w:lineRule="auto" w:before="111"/>
        <w:ind w:left="108" w:right="384"/>
      </w:pPr>
      <w:r>
        <w:rPr>
          <w:spacing w:val="-40"/>
        </w:rPr>
        <w:t>年 </w:t>
      </w:r>
      <w:r>
        <w:rPr/>
        <w:t>11</w:t>
      </w:r>
      <w:r>
        <w:rPr>
          <w:spacing w:val="-53"/>
        </w:rPr>
        <w:t> 月 </w:t>
      </w:r>
      <w:r>
        <w:rPr/>
        <w:t>30</w:t>
      </w:r>
      <w:r>
        <w:rPr>
          <w:spacing w:val="-26"/>
        </w:rPr>
        <w:t> 日。</w:t>
      </w:r>
      <w:r>
        <w:rPr/>
        <w:t>2009</w:t>
      </w:r>
      <w:r>
        <w:rPr>
          <w:spacing w:val="-52"/>
        </w:rPr>
        <w:t> 年 </w:t>
      </w:r>
      <w:r>
        <w:rPr/>
        <w:t>6</w:t>
      </w:r>
      <w:r>
        <w:rPr>
          <w:spacing w:val="-53"/>
        </w:rPr>
        <w:t> 月 </w:t>
      </w:r>
      <w:r>
        <w:rPr/>
        <w:t>16</w:t>
      </w:r>
      <w:r>
        <w:rPr>
          <w:spacing w:val="-9"/>
        </w:rPr>
        <w:t> 日县政府办公室发布施行的《郯</w:t>
      </w:r>
      <w:r>
        <w:rPr>
          <w:w w:val="95"/>
        </w:rPr>
        <w:t>城县有突出贡献的中青年专家选拔管理暂行办法》</w:t>
      </w:r>
      <w:r>
        <w:rPr>
          <w:spacing w:val="12"/>
          <w:w w:val="95"/>
        </w:rPr>
        <w:t>（</w:t>
      </w:r>
      <w:r>
        <w:rPr>
          <w:spacing w:val="6"/>
          <w:w w:val="95"/>
        </w:rPr>
        <w:t>郯政办发</w:t>
      </w:r>
    </w:p>
    <w:p>
      <w:pPr>
        <w:pStyle w:val="BodyText"/>
        <w:spacing w:line="447" w:lineRule="exact"/>
        <w:ind w:left="108"/>
      </w:pPr>
      <w:r>
        <w:rPr/>
        <w:t>〔2009〕54 号）同时废止。</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after="1"/>
        <w:rPr>
          <w:sz w:val="16"/>
        </w:rPr>
      </w:pPr>
    </w:p>
    <w:p>
      <w:pPr>
        <w:pStyle w:val="BodyText"/>
        <w:spacing w:line="20" w:lineRule="exact"/>
        <w:ind w:left="-17"/>
        <w:rPr>
          <w:sz w:val="2"/>
        </w:rPr>
      </w:pPr>
      <w:r>
        <w:rPr>
          <w:sz w:val="2"/>
        </w:rPr>
        <w:pict>
          <v:group style="width:446.4pt;height:1pt;mso-position-horizontal-relative:char;mso-position-vertical-relative:line" coordorigin="0,0" coordsize="8928,20">
            <v:line style="position:absolute" from="0,10" to="8928,10" stroked="true" strokeweight=".96pt" strokecolor="#000000">
              <v:stroke dashstyle="solid"/>
            </v:line>
          </v:group>
        </w:pict>
      </w:r>
      <w:r>
        <w:rPr>
          <w:sz w:val="2"/>
        </w:rPr>
      </w:r>
    </w:p>
    <w:p>
      <w:pPr>
        <w:tabs>
          <w:tab w:pos="5561" w:val="left" w:leader="none"/>
        </w:tabs>
        <w:spacing w:before="148"/>
        <w:ind w:left="380" w:right="0" w:firstLine="0"/>
        <w:jc w:val="left"/>
        <w:rPr>
          <w:sz w:val="28"/>
        </w:rPr>
      </w:pPr>
      <w:r>
        <w:rPr/>
        <w:pict>
          <v:line style="position:absolute;mso-position-horizontal-relative:page;mso-position-vertical-relative:paragraph;z-index:251669504" from="73.650002pt,35.000004pt" to="520.050002pt,35.000004pt" stroked="true" strokeweight=".96pt" strokecolor="#000000">
            <v:stroke dashstyle="solid"/>
            <w10:wrap type="none"/>
          </v:line>
        </w:pict>
      </w:r>
      <w:r>
        <w:rPr>
          <w:sz w:val="28"/>
        </w:rPr>
        <w:t>郯</w:t>
      </w:r>
      <w:r>
        <w:rPr>
          <w:spacing w:val="-3"/>
          <w:sz w:val="28"/>
        </w:rPr>
        <w:t>城</w:t>
      </w:r>
      <w:r>
        <w:rPr>
          <w:sz w:val="28"/>
        </w:rPr>
        <w:t>县人</w:t>
      </w:r>
      <w:r>
        <w:rPr>
          <w:spacing w:val="-3"/>
          <w:sz w:val="28"/>
        </w:rPr>
        <w:t>民</w:t>
      </w:r>
      <w:r>
        <w:rPr>
          <w:sz w:val="28"/>
        </w:rPr>
        <w:t>政府</w:t>
      </w:r>
      <w:r>
        <w:rPr>
          <w:spacing w:val="-3"/>
          <w:sz w:val="28"/>
        </w:rPr>
        <w:t>办</w:t>
      </w:r>
      <w:r>
        <w:rPr>
          <w:sz w:val="28"/>
        </w:rPr>
        <w:t>公室</w:t>
        <w:tab/>
        <w:t>2017</w:t>
      </w:r>
      <w:r>
        <w:rPr>
          <w:spacing w:val="-71"/>
          <w:sz w:val="28"/>
        </w:rPr>
        <w:t> </w:t>
      </w:r>
      <w:r>
        <w:rPr>
          <w:sz w:val="28"/>
        </w:rPr>
        <w:t>年</w:t>
      </w:r>
      <w:r>
        <w:rPr>
          <w:spacing w:val="-71"/>
          <w:sz w:val="28"/>
        </w:rPr>
        <w:t> </w:t>
      </w:r>
      <w:r>
        <w:rPr>
          <w:sz w:val="28"/>
        </w:rPr>
        <w:t>11</w:t>
      </w:r>
      <w:r>
        <w:rPr>
          <w:spacing w:val="-73"/>
          <w:sz w:val="28"/>
        </w:rPr>
        <w:t> </w:t>
      </w:r>
      <w:r>
        <w:rPr>
          <w:sz w:val="28"/>
        </w:rPr>
        <w:t>月</w:t>
      </w:r>
      <w:r>
        <w:rPr>
          <w:spacing w:val="-71"/>
          <w:sz w:val="28"/>
        </w:rPr>
        <w:t> </w:t>
      </w:r>
      <w:r>
        <w:rPr>
          <w:sz w:val="28"/>
        </w:rPr>
        <w:t>15</w:t>
      </w:r>
      <w:r>
        <w:rPr>
          <w:spacing w:val="-72"/>
          <w:sz w:val="28"/>
        </w:rPr>
        <w:t> </w:t>
      </w:r>
      <w:r>
        <w:rPr>
          <w:sz w:val="28"/>
        </w:rPr>
        <w:t>日</w:t>
      </w:r>
      <w:r>
        <w:rPr>
          <w:spacing w:val="-3"/>
          <w:sz w:val="28"/>
        </w:rPr>
        <w:t>印</w:t>
      </w:r>
      <w:r>
        <w:rPr>
          <w:sz w:val="28"/>
        </w:rPr>
        <w:t>发</w:t>
      </w:r>
    </w:p>
    <w:sectPr>
      <w:pgSz w:w="11910" w:h="16840"/>
      <w:pgMar w:header="0" w:footer="1652" w:top="1580" w:bottom="1840" w:left="14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简体">
    <w:altName w:val="方正小标宋简体"/>
    <w:charset w:val="86"/>
    <w:family w:val="script"/>
    <w:pitch w:val="fixed"/>
  </w:font>
  <w:font w:name="黑体">
    <w:altName w:val="黑体"/>
    <w:charset w:val="86"/>
    <w:family w:val="modern"/>
    <w:pitch w:val="fixed"/>
  </w:font>
  <w:font w:name="楷体">
    <w:altName w:val="楷体"/>
    <w:charset w:val="86"/>
    <w:family w:val="modern"/>
    <w:pitch w:val="fixed"/>
  </w:font>
  <w:font w:name="文星仿宋">
    <w:altName w:val="文星仿宋"/>
    <w:charset w:val="86"/>
    <w:family w:val="modern"/>
    <w:pitch w:val="fixed"/>
  </w:font>
  <w:font w:name="宋体">
    <w:altName w:val="宋体"/>
    <w:charset w:val="86"/>
    <w:family w:val="auto"/>
    <w:pitch w:val="variable"/>
  </w:font>
  <w:font w:name="楷体_GB2312">
    <w:altName w:val="楷体_GB2312"/>
    <w:charset w:val="86"/>
    <w:family w:val="modern"/>
    <w:pitch w:val="fixed"/>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0.320007pt;margin-top:763.817505pt;width:32pt;height:14pt;mso-position-horizontal-relative:page;mso-position-vertical-relative:page;z-index:-252249088" type="#_x0000_t202" filled="false" stroked="false">
          <v:textbox inset="0,0,0,0">
            <w:txbxContent>
              <w:p>
                <w:pPr>
                  <w:spacing w:line="280" w:lineRule="exact" w:before="0"/>
                  <w:ind w:left="20" w:right="0" w:firstLine="0"/>
                  <w:jc w:val="left"/>
                  <w:rPr>
                    <w:rFonts w:ascii="宋体"/>
                    <w:sz w:val="24"/>
                  </w:rPr>
                </w:pPr>
                <w:r>
                  <w:rPr>
                    <w:rFonts w:ascii="宋体"/>
                    <w:sz w:val="24"/>
                  </w:rPr>
                  <w:t>- </w:t>
                </w:r>
                <w:r>
                  <w:rPr/>
                  <w:fldChar w:fldCharType="begin"/>
                </w:r>
                <w:r>
                  <w:rPr>
                    <w:rFonts w:ascii="宋体"/>
                    <w:sz w:val="24"/>
                  </w:rPr>
                  <w:instrText> PAGE </w:instrText>
                </w:r>
                <w:r>
                  <w:rPr/>
                  <w:fldChar w:fldCharType="separate"/>
                </w:r>
                <w:r>
                  <w:rPr/>
                  <w:t>1</w:t>
                </w:r>
                <w:r>
                  <w:rPr/>
                  <w:fldChar w:fldCharType="end"/>
                </w:r>
                <w:r>
                  <w:rPr>
                    <w:rFonts w:ascii="宋体"/>
                    <w:sz w:val="24"/>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0.320007pt;margin-top:763.817505pt;width:38pt;height:14pt;mso-position-horizontal-relative:page;mso-position-vertical-relative:page;z-index:-252248064" type="#_x0000_t202" filled="false" stroked="false">
          <v:textbox inset="0,0,0,0">
            <w:txbxContent>
              <w:p>
                <w:pPr>
                  <w:spacing w:line="280" w:lineRule="exact" w:before="0"/>
                  <w:ind w:left="20" w:right="0" w:firstLine="0"/>
                  <w:jc w:val="left"/>
                  <w:rPr>
                    <w:rFonts w:ascii="宋体"/>
                    <w:sz w:val="24"/>
                  </w:rPr>
                </w:pPr>
                <w:r>
                  <w:rPr>
                    <w:rFonts w:ascii="宋体"/>
                    <w:sz w:val="24"/>
                  </w:rPr>
                  <w:t>- </w:t>
                </w:r>
                <w:r>
                  <w:rPr/>
                  <w:fldChar w:fldCharType="begin"/>
                </w:r>
                <w:r>
                  <w:rPr>
                    <w:rFonts w:ascii="宋体"/>
                    <w:sz w:val="24"/>
                  </w:rPr>
                  <w:instrText> PAGE </w:instrText>
                </w:r>
                <w:r>
                  <w:rPr/>
                  <w:fldChar w:fldCharType="separate"/>
                </w:r>
                <w:r>
                  <w:rPr/>
                  <w:t>10</w:t>
                </w:r>
                <w:r>
                  <w:rPr/>
                  <w:fldChar w:fldCharType="end"/>
                </w:r>
                <w:r>
                  <w:rPr>
                    <w:rFonts w:ascii="宋体"/>
                    <w:sz w:val="24"/>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919006pt;margin-top:748.300049pt;width:20.75pt;height:11pt;mso-position-horizontal-relative:page;mso-position-vertical-relative:page;z-index:-252247040" type="#_x0000_t202" filled="false" stroked="false">
          <v:textbox inset="0,0,0,0">
            <w:txbxContent>
              <w:p>
                <w:pPr>
                  <w:spacing w:line="203" w:lineRule="exact" w:before="0"/>
                  <w:ind w:left="20" w:right="0" w:firstLine="0"/>
                  <w:jc w:val="left"/>
                  <w:rPr>
                    <w:rFonts w:ascii="Calibri"/>
                    <w:sz w:val="18"/>
                  </w:rPr>
                </w:pPr>
                <w:r>
                  <w:rPr>
                    <w:rFonts w:ascii="Calibri"/>
                    <w:sz w:val="18"/>
                  </w:rPr>
                  <w:t>- </w:t>
                </w:r>
                <w:r>
                  <w:rPr/>
                  <w:fldChar w:fldCharType="begin"/>
                </w:r>
                <w:r>
                  <w:rPr>
                    <w:rFonts w:ascii="Calibri"/>
                    <w:sz w:val="18"/>
                  </w:rPr>
                  <w:instrText> PAGE </w:instrText>
                </w:r>
                <w:r>
                  <w:rPr/>
                  <w:fldChar w:fldCharType="separate"/>
                </w:r>
                <w:r>
                  <w:rPr/>
                  <w:t>19</w:t>
                </w:r>
                <w:r>
                  <w:rPr/>
                  <w:fldChar w:fldCharType="end"/>
                </w:r>
                <w:r>
                  <w:rPr>
                    <w:rFonts w:ascii="Calibri"/>
                    <w:sz w:val="18"/>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919006pt;margin-top:748.300049pt;width:20.75pt;height:11pt;mso-position-horizontal-relative:page;mso-position-vertical-relative:page;z-index:-252246016" type="#_x0000_t202" filled="false" stroked="false">
          <v:textbox inset="0,0,0,0">
            <w:txbxContent>
              <w:p>
                <w:pPr>
                  <w:spacing w:line="203" w:lineRule="exact" w:before="0"/>
                  <w:ind w:left="20" w:right="0" w:firstLine="0"/>
                  <w:jc w:val="left"/>
                  <w:rPr>
                    <w:rFonts w:ascii="Calibri"/>
                    <w:sz w:val="18"/>
                  </w:rPr>
                </w:pPr>
                <w:r>
                  <w:rPr>
                    <w:rFonts w:ascii="Calibri"/>
                    <w:sz w:val="18"/>
                  </w:rPr>
                  <w:t>- </w:t>
                </w:r>
                <w:r>
                  <w:rPr/>
                  <w:fldChar w:fldCharType="begin"/>
                </w:r>
                <w:r>
                  <w:rPr>
                    <w:rFonts w:ascii="Calibri"/>
                    <w:sz w:val="18"/>
                  </w:rPr>
                  <w:instrText> PAGE </w:instrText>
                </w:r>
                <w:r>
                  <w:rPr/>
                  <w:fldChar w:fldCharType="separate"/>
                </w:r>
                <w:r>
                  <w:rPr/>
                  <w:t>20</w:t>
                </w:r>
                <w:r>
                  <w:rPr/>
                  <w:fldChar w:fldCharType="end"/>
                </w:r>
                <w:r>
                  <w:rPr>
                    <w:rFonts w:ascii="Calibri"/>
                    <w:sz w:val="1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8" w:hanging="341"/>
        <w:jc w:val="left"/>
      </w:pPr>
      <w:rPr>
        <w:rFonts w:hint="default" w:ascii="文星仿宋" w:hAnsi="文星仿宋" w:eastAsia="文星仿宋" w:cs="文星仿宋"/>
        <w:spacing w:val="-1"/>
        <w:w w:val="99"/>
        <w:sz w:val="32"/>
        <w:szCs w:val="32"/>
        <w:lang w:val="zh-CN" w:eastAsia="zh-CN" w:bidi="zh-CN"/>
      </w:rPr>
    </w:lvl>
    <w:lvl w:ilvl="1">
      <w:start w:val="0"/>
      <w:numFmt w:val="bullet"/>
      <w:lvlText w:val="•"/>
      <w:lvlJc w:val="left"/>
      <w:pPr>
        <w:ind w:left="1012" w:hanging="341"/>
      </w:pPr>
      <w:rPr>
        <w:rFonts w:hint="default"/>
        <w:lang w:val="zh-CN" w:eastAsia="zh-CN" w:bidi="zh-CN"/>
      </w:rPr>
    </w:lvl>
    <w:lvl w:ilvl="2">
      <w:start w:val="0"/>
      <w:numFmt w:val="bullet"/>
      <w:lvlText w:val="•"/>
      <w:lvlJc w:val="left"/>
      <w:pPr>
        <w:ind w:left="1925" w:hanging="341"/>
      </w:pPr>
      <w:rPr>
        <w:rFonts w:hint="default"/>
        <w:lang w:val="zh-CN" w:eastAsia="zh-CN" w:bidi="zh-CN"/>
      </w:rPr>
    </w:lvl>
    <w:lvl w:ilvl="3">
      <w:start w:val="0"/>
      <w:numFmt w:val="bullet"/>
      <w:lvlText w:val="•"/>
      <w:lvlJc w:val="left"/>
      <w:pPr>
        <w:ind w:left="2837" w:hanging="341"/>
      </w:pPr>
      <w:rPr>
        <w:rFonts w:hint="default"/>
        <w:lang w:val="zh-CN" w:eastAsia="zh-CN" w:bidi="zh-CN"/>
      </w:rPr>
    </w:lvl>
    <w:lvl w:ilvl="4">
      <w:start w:val="0"/>
      <w:numFmt w:val="bullet"/>
      <w:lvlText w:val="•"/>
      <w:lvlJc w:val="left"/>
      <w:pPr>
        <w:ind w:left="3750" w:hanging="341"/>
      </w:pPr>
      <w:rPr>
        <w:rFonts w:hint="default"/>
        <w:lang w:val="zh-CN" w:eastAsia="zh-CN" w:bidi="zh-CN"/>
      </w:rPr>
    </w:lvl>
    <w:lvl w:ilvl="5">
      <w:start w:val="0"/>
      <w:numFmt w:val="bullet"/>
      <w:lvlText w:val="•"/>
      <w:lvlJc w:val="left"/>
      <w:pPr>
        <w:ind w:left="4663" w:hanging="341"/>
      </w:pPr>
      <w:rPr>
        <w:rFonts w:hint="default"/>
        <w:lang w:val="zh-CN" w:eastAsia="zh-CN" w:bidi="zh-CN"/>
      </w:rPr>
    </w:lvl>
    <w:lvl w:ilvl="6">
      <w:start w:val="0"/>
      <w:numFmt w:val="bullet"/>
      <w:lvlText w:val="•"/>
      <w:lvlJc w:val="left"/>
      <w:pPr>
        <w:ind w:left="5575" w:hanging="341"/>
      </w:pPr>
      <w:rPr>
        <w:rFonts w:hint="default"/>
        <w:lang w:val="zh-CN" w:eastAsia="zh-CN" w:bidi="zh-CN"/>
      </w:rPr>
    </w:lvl>
    <w:lvl w:ilvl="7">
      <w:start w:val="0"/>
      <w:numFmt w:val="bullet"/>
      <w:lvlText w:val="•"/>
      <w:lvlJc w:val="left"/>
      <w:pPr>
        <w:ind w:left="6488" w:hanging="341"/>
      </w:pPr>
      <w:rPr>
        <w:rFonts w:hint="default"/>
        <w:lang w:val="zh-CN" w:eastAsia="zh-CN" w:bidi="zh-CN"/>
      </w:rPr>
    </w:lvl>
    <w:lvl w:ilvl="8">
      <w:start w:val="0"/>
      <w:numFmt w:val="bullet"/>
      <w:lvlText w:val="•"/>
      <w:lvlJc w:val="left"/>
      <w:pPr>
        <w:ind w:left="7400" w:hanging="341"/>
      </w:pPr>
      <w:rPr>
        <w:rFonts w:hint="default"/>
        <w:lang w:val="zh-CN" w:eastAsia="zh-CN" w:bidi="zh-CN"/>
      </w:rPr>
    </w:lvl>
  </w:abstractNum>
  <w:abstractNum w:abstractNumId="0">
    <w:multiLevelType w:val="hybridMultilevel"/>
    <w:lvl w:ilvl="0">
      <w:start w:val="1"/>
      <w:numFmt w:val="decimal"/>
      <w:lvlText w:val="%1."/>
      <w:lvlJc w:val="left"/>
      <w:pPr>
        <w:ind w:left="108" w:hanging="341"/>
        <w:jc w:val="left"/>
      </w:pPr>
      <w:rPr>
        <w:rFonts w:hint="default" w:ascii="文星仿宋" w:hAnsi="文星仿宋" w:eastAsia="文星仿宋" w:cs="文星仿宋"/>
        <w:spacing w:val="-1"/>
        <w:w w:val="99"/>
        <w:sz w:val="32"/>
        <w:szCs w:val="32"/>
        <w:lang w:val="zh-CN" w:eastAsia="zh-CN" w:bidi="zh-CN"/>
      </w:rPr>
    </w:lvl>
    <w:lvl w:ilvl="1">
      <w:start w:val="0"/>
      <w:numFmt w:val="bullet"/>
      <w:lvlText w:val="•"/>
      <w:lvlJc w:val="left"/>
      <w:pPr>
        <w:ind w:left="1012" w:hanging="341"/>
      </w:pPr>
      <w:rPr>
        <w:rFonts w:hint="default"/>
        <w:lang w:val="zh-CN" w:eastAsia="zh-CN" w:bidi="zh-CN"/>
      </w:rPr>
    </w:lvl>
    <w:lvl w:ilvl="2">
      <w:start w:val="0"/>
      <w:numFmt w:val="bullet"/>
      <w:lvlText w:val="•"/>
      <w:lvlJc w:val="left"/>
      <w:pPr>
        <w:ind w:left="1925" w:hanging="341"/>
      </w:pPr>
      <w:rPr>
        <w:rFonts w:hint="default"/>
        <w:lang w:val="zh-CN" w:eastAsia="zh-CN" w:bidi="zh-CN"/>
      </w:rPr>
    </w:lvl>
    <w:lvl w:ilvl="3">
      <w:start w:val="0"/>
      <w:numFmt w:val="bullet"/>
      <w:lvlText w:val="•"/>
      <w:lvlJc w:val="left"/>
      <w:pPr>
        <w:ind w:left="2837" w:hanging="341"/>
      </w:pPr>
      <w:rPr>
        <w:rFonts w:hint="default"/>
        <w:lang w:val="zh-CN" w:eastAsia="zh-CN" w:bidi="zh-CN"/>
      </w:rPr>
    </w:lvl>
    <w:lvl w:ilvl="4">
      <w:start w:val="0"/>
      <w:numFmt w:val="bullet"/>
      <w:lvlText w:val="•"/>
      <w:lvlJc w:val="left"/>
      <w:pPr>
        <w:ind w:left="3750" w:hanging="341"/>
      </w:pPr>
      <w:rPr>
        <w:rFonts w:hint="default"/>
        <w:lang w:val="zh-CN" w:eastAsia="zh-CN" w:bidi="zh-CN"/>
      </w:rPr>
    </w:lvl>
    <w:lvl w:ilvl="5">
      <w:start w:val="0"/>
      <w:numFmt w:val="bullet"/>
      <w:lvlText w:val="•"/>
      <w:lvlJc w:val="left"/>
      <w:pPr>
        <w:ind w:left="4663" w:hanging="341"/>
      </w:pPr>
      <w:rPr>
        <w:rFonts w:hint="default"/>
        <w:lang w:val="zh-CN" w:eastAsia="zh-CN" w:bidi="zh-CN"/>
      </w:rPr>
    </w:lvl>
    <w:lvl w:ilvl="6">
      <w:start w:val="0"/>
      <w:numFmt w:val="bullet"/>
      <w:lvlText w:val="•"/>
      <w:lvlJc w:val="left"/>
      <w:pPr>
        <w:ind w:left="5575" w:hanging="341"/>
      </w:pPr>
      <w:rPr>
        <w:rFonts w:hint="default"/>
        <w:lang w:val="zh-CN" w:eastAsia="zh-CN" w:bidi="zh-CN"/>
      </w:rPr>
    </w:lvl>
    <w:lvl w:ilvl="7">
      <w:start w:val="0"/>
      <w:numFmt w:val="bullet"/>
      <w:lvlText w:val="•"/>
      <w:lvlJc w:val="left"/>
      <w:pPr>
        <w:ind w:left="6488" w:hanging="341"/>
      </w:pPr>
      <w:rPr>
        <w:rFonts w:hint="default"/>
        <w:lang w:val="zh-CN" w:eastAsia="zh-CN" w:bidi="zh-CN"/>
      </w:rPr>
    </w:lvl>
    <w:lvl w:ilvl="8">
      <w:start w:val="0"/>
      <w:numFmt w:val="bullet"/>
      <w:lvlText w:val="•"/>
      <w:lvlJc w:val="left"/>
      <w:pPr>
        <w:ind w:left="7400" w:hanging="341"/>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文星仿宋" w:hAnsi="文星仿宋" w:eastAsia="文星仿宋" w:cs="文星仿宋"/>
      <w:lang w:val="zh-CN" w:eastAsia="zh-CN" w:bidi="zh-CN"/>
    </w:rPr>
  </w:style>
  <w:style w:styleId="BodyText" w:type="paragraph">
    <w:name w:val="Body Text"/>
    <w:basedOn w:val="Normal"/>
    <w:uiPriority w:val="1"/>
    <w:qFormat/>
    <w:pPr/>
    <w:rPr>
      <w:rFonts w:ascii="文星仿宋" w:hAnsi="文星仿宋" w:eastAsia="文星仿宋" w:cs="文星仿宋"/>
      <w:sz w:val="32"/>
      <w:szCs w:val="32"/>
      <w:lang w:val="zh-CN" w:eastAsia="zh-CN" w:bidi="zh-CN"/>
    </w:rPr>
  </w:style>
  <w:style w:styleId="Heading1" w:type="paragraph">
    <w:name w:val="Heading 1"/>
    <w:basedOn w:val="Normal"/>
    <w:uiPriority w:val="1"/>
    <w:qFormat/>
    <w:pPr>
      <w:ind w:left="674" w:right="951"/>
      <w:jc w:val="center"/>
      <w:outlineLvl w:val="1"/>
    </w:pPr>
    <w:rPr>
      <w:rFonts w:ascii="方正小标宋简体" w:hAnsi="方正小标宋简体" w:eastAsia="方正小标宋简体" w:cs="方正小标宋简体"/>
      <w:sz w:val="44"/>
      <w:szCs w:val="44"/>
      <w:lang w:val="zh-CN" w:eastAsia="zh-CN" w:bidi="zh-CN"/>
    </w:rPr>
  </w:style>
  <w:style w:styleId="ListParagraph" w:type="paragraph">
    <w:name w:val="List Paragraph"/>
    <w:basedOn w:val="Normal"/>
    <w:uiPriority w:val="1"/>
    <w:qFormat/>
    <w:pPr>
      <w:spacing w:before="1"/>
      <w:ind w:left="108" w:right="386" w:firstLine="643"/>
    </w:pPr>
    <w:rPr>
      <w:rFonts w:ascii="文星仿宋" w:hAnsi="文星仿宋" w:eastAsia="文星仿宋" w:cs="文星仿宋"/>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footer" Target="footer2.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footer" Target="footer3.xml"/><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footer" Target="footer4.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2021-01-03T08:49:38Z</dcterms:created>
  <dcterms:modified xsi:type="dcterms:W3CDTF">2021-01-03T08:49:38Z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WPS 文字</vt:lpwstr>
  </property>
  <property fmtid="{D5CDD505-2E9C-101B-9397-08002B2CF9AE}" pid="4" name="LastSaved">
    <vt:filetime>2021-01-03T00:00:00Z</vt:filetime>
  </property>
</Properties>
</file>