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pStyle w:val="BodyText"/>
        <w:ind w:left="2357"/>
        <w:rPr>
          <w:rFonts w:ascii="Times New Roman"/>
          <w:sz w:val="20"/>
        </w:rPr>
      </w:pPr>
      <w:r>
        <w:rPr>
          <w:rFonts w:ascii="Times New Roman"/>
          <w:sz w:val="20"/>
        </w:rPr>
        <w:drawing>
          <wp:inline distT="0" distB="0" distL="0" distR="0">
            <wp:extent cx="2671167" cy="299237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671167" cy="2992374"/>
                    </a:xfrm>
                    <a:prstGeom prst="rect">
                      <a:avLst/>
                    </a:prstGeom>
                  </pic:spPr>
                </pic:pic>
              </a:graphicData>
            </a:graphic>
          </wp:inline>
        </w:drawing>
      </w:r>
      <w:r>
        <w:rPr>
          <w:rFonts w:ascii="Times New Roman"/>
          <w:sz w:val="20"/>
        </w:rPr>
      </w:r>
    </w:p>
    <w:p>
      <w:pPr>
        <w:pStyle w:val="BodyText"/>
        <w:spacing w:before="7"/>
        <w:rPr>
          <w:rFonts w:ascii="Times New Roman"/>
          <w:sz w:val="28"/>
        </w:rPr>
      </w:pPr>
    </w:p>
    <w:p>
      <w:pPr>
        <w:spacing w:line="1344" w:lineRule="exact" w:before="0"/>
        <w:ind w:left="631" w:right="812" w:firstLine="0"/>
        <w:jc w:val="center"/>
        <w:rPr>
          <w:rFonts w:ascii="方正小标宋简体" w:eastAsia="方正小标宋简体" w:hint="eastAsia"/>
          <w:sz w:val="84"/>
        </w:rPr>
      </w:pPr>
      <w:r>
        <w:rPr>
          <w:rFonts w:ascii="方正小标宋简体" w:eastAsia="方正小标宋简体" w:hint="eastAsia"/>
          <w:sz w:val="84"/>
        </w:rPr>
        <w:t>郯城县人民政府公报</w:t>
      </w:r>
    </w:p>
    <w:p>
      <w:pPr>
        <w:pStyle w:val="BodyText"/>
        <w:rPr>
          <w:rFonts w:ascii="方正小标宋简体"/>
          <w:sz w:val="100"/>
        </w:rPr>
      </w:pPr>
    </w:p>
    <w:p>
      <w:pPr>
        <w:pStyle w:val="BodyText"/>
        <w:spacing w:before="15"/>
        <w:rPr>
          <w:rFonts w:ascii="方正小标宋简体"/>
          <w:sz w:val="131"/>
        </w:rPr>
      </w:pPr>
    </w:p>
    <w:p>
      <w:pPr>
        <w:spacing w:line="244" w:lineRule="auto" w:before="0"/>
        <w:ind w:left="1872" w:right="2050" w:firstLine="0"/>
        <w:jc w:val="center"/>
        <w:rPr>
          <w:rFonts w:ascii="方正小标宋简体" w:eastAsia="方正小标宋简体" w:hint="eastAsia"/>
          <w:sz w:val="52"/>
        </w:rPr>
      </w:pPr>
      <w:r>
        <w:rPr>
          <w:rFonts w:ascii="方正小标宋简体" w:eastAsia="方正小标宋简体" w:hint="eastAsia"/>
          <w:sz w:val="52"/>
        </w:rPr>
        <w:t>郯城县人民政府办公室2018 年第 1 期</w:t>
      </w:r>
    </w:p>
    <w:p>
      <w:pPr>
        <w:spacing w:after="0" w:line="244" w:lineRule="auto"/>
        <w:jc w:val="center"/>
        <w:rPr>
          <w:rFonts w:ascii="方正小标宋简体" w:eastAsia="方正小标宋简体" w:hint="eastAsia"/>
          <w:sz w:val="52"/>
        </w:rPr>
        <w:sectPr>
          <w:footerReference w:type="default" r:id="rId5"/>
          <w:type w:val="continuous"/>
          <w:pgSz w:w="11910" w:h="16840"/>
          <w:pgMar w:footer="975" w:top="1580" w:bottom="1160" w:left="1480" w:right="1300"/>
          <w:pgNumType w:start="1"/>
        </w:sectPr>
      </w:pPr>
    </w:p>
    <w:p>
      <w:pPr>
        <w:pStyle w:val="Heading2"/>
        <w:spacing w:before="15"/>
        <w:ind w:right="391"/>
        <w:rPr>
          <w:rFonts w:ascii="黑体" w:eastAsia="黑体" w:hint="eastAsia"/>
        </w:rPr>
      </w:pPr>
      <w:r>
        <w:rPr>
          <w:rFonts w:ascii="黑体" w:eastAsia="黑体" w:hint="eastAsia"/>
        </w:rPr>
        <w:t>郯城县人民政府公报</w:t>
      </w:r>
    </w:p>
    <w:p>
      <w:pPr>
        <w:pStyle w:val="BodyText"/>
        <w:spacing w:before="8"/>
        <w:rPr>
          <w:rFonts w:ascii="黑体"/>
          <w:sz w:val="17"/>
        </w:rPr>
      </w:pPr>
    </w:p>
    <w:p>
      <w:pPr>
        <w:spacing w:before="70"/>
        <w:ind w:left="641" w:right="0" w:firstLine="0"/>
        <w:jc w:val="left"/>
        <w:rPr>
          <w:rFonts w:ascii="楷体" w:eastAsia="楷体" w:hint="eastAsia"/>
          <w:sz w:val="21"/>
        </w:rPr>
      </w:pPr>
      <w:r>
        <w:rPr>
          <w:rFonts w:ascii="楷体" w:eastAsia="楷体" w:hint="eastAsia"/>
          <w:sz w:val="21"/>
        </w:rPr>
        <w:t>公报介绍：</w:t>
      </w:r>
    </w:p>
    <w:p>
      <w:pPr>
        <w:pStyle w:val="BodyText"/>
        <w:spacing w:before="4"/>
        <w:rPr>
          <w:rFonts w:ascii="楷体"/>
          <w:sz w:val="27"/>
        </w:rPr>
      </w:pPr>
    </w:p>
    <w:p>
      <w:pPr>
        <w:spacing w:line="424" w:lineRule="auto" w:before="0"/>
        <w:ind w:left="221" w:right="295" w:firstLine="420"/>
        <w:jc w:val="left"/>
        <w:rPr>
          <w:sz w:val="21"/>
        </w:rPr>
      </w:pPr>
      <w:r>
        <w:rPr>
          <w:w w:val="95"/>
          <w:sz w:val="21"/>
        </w:rPr>
        <w:t>政府信息公开是人民群众行使知情权、监督权、参与权的基础，是促进政府公正、公平、   </w:t>
      </w:r>
      <w:r>
        <w:rPr>
          <w:sz w:val="21"/>
        </w:rPr>
        <w:t>公开行使权力，提高管理服务水平的重要手段，是从源头预防和治理腐败的有效措施。</w:t>
      </w:r>
    </w:p>
    <w:p>
      <w:pPr>
        <w:spacing w:line="424" w:lineRule="auto" w:before="100"/>
        <w:ind w:left="221" w:right="295" w:firstLine="420"/>
        <w:jc w:val="left"/>
        <w:rPr>
          <w:sz w:val="21"/>
        </w:rPr>
      </w:pPr>
      <w:r>
        <w:rPr>
          <w:sz w:val="21"/>
        </w:rPr>
        <w:t>《郯城县人民政府公报》由县政府主管、主办，县政府办公室负责编辑出版，是县政府 唯一的政府出版物，主要承载县政府主动公开的政府信息，是县政府发布政令、宣传政策、 </w:t>
      </w:r>
      <w:r>
        <w:rPr>
          <w:w w:val="95"/>
          <w:sz w:val="21"/>
        </w:rPr>
        <w:t>指导工作的权威载体，是政府信息公开的主渠道，是广大人民群众阅读文件、掌握政策法规、   </w:t>
      </w:r>
      <w:r>
        <w:rPr>
          <w:sz w:val="21"/>
        </w:rPr>
        <w:t>维护合法权益的重要渠道和手段。</w:t>
      </w:r>
    </w:p>
    <w:p>
      <w:pPr>
        <w:spacing w:before="103"/>
        <w:ind w:left="641" w:right="0" w:firstLine="0"/>
        <w:jc w:val="left"/>
        <w:rPr>
          <w:rFonts w:ascii="楷体" w:eastAsia="楷体" w:hint="eastAsia"/>
          <w:sz w:val="21"/>
        </w:rPr>
      </w:pPr>
      <w:r>
        <w:rPr>
          <w:rFonts w:ascii="楷体" w:eastAsia="楷体" w:hint="eastAsia"/>
          <w:sz w:val="21"/>
        </w:rPr>
        <w:t>背景资料：</w:t>
      </w:r>
    </w:p>
    <w:p>
      <w:pPr>
        <w:pStyle w:val="BodyText"/>
        <w:spacing w:before="4"/>
        <w:rPr>
          <w:rFonts w:ascii="楷体"/>
          <w:sz w:val="27"/>
        </w:rPr>
      </w:pPr>
    </w:p>
    <w:p>
      <w:pPr>
        <w:spacing w:line="424" w:lineRule="auto" w:before="0"/>
        <w:ind w:left="221" w:right="504" w:firstLine="420"/>
        <w:jc w:val="left"/>
        <w:rPr>
          <w:sz w:val="21"/>
        </w:rPr>
      </w:pPr>
      <w:r>
        <w:rPr>
          <w:w w:val="95"/>
          <w:sz w:val="21"/>
        </w:rPr>
        <w:t>政府公报是行政机关编印的专门登载法律、法令、决定、命令、条约、协定或其他官方  </w:t>
      </w:r>
      <w:r>
        <w:rPr>
          <w:sz w:val="21"/>
        </w:rPr>
        <w:t>文件的刊物。</w:t>
      </w:r>
    </w:p>
    <w:p>
      <w:pPr>
        <w:spacing w:line="424" w:lineRule="auto" w:before="100"/>
        <w:ind w:left="221" w:right="504" w:firstLine="420"/>
        <w:jc w:val="left"/>
        <w:rPr>
          <w:sz w:val="21"/>
        </w:rPr>
      </w:pPr>
      <w:r>
        <w:rPr>
          <w:w w:val="95"/>
          <w:sz w:val="21"/>
        </w:rPr>
        <w:t>《中国加入世贸组织议定书》第二条：政府应设立或指定一官方刊物，用于公布有关法  </w:t>
      </w:r>
      <w:r>
        <w:rPr>
          <w:sz w:val="21"/>
        </w:rPr>
        <w:t>律、法规及其他措施，并定期出版该刊物，使个人和企业可容易获得该刊物各期。</w:t>
      </w:r>
    </w:p>
    <w:p>
      <w:pPr>
        <w:spacing w:line="424" w:lineRule="auto" w:before="101"/>
        <w:ind w:left="221" w:right="504" w:firstLine="420"/>
        <w:jc w:val="both"/>
        <w:rPr>
          <w:sz w:val="21"/>
        </w:rPr>
      </w:pPr>
      <w:r>
        <w:rPr>
          <w:w w:val="95"/>
          <w:sz w:val="21"/>
        </w:rPr>
        <w:t>《中华人民共和国立法法》第七十七条：地方政府规章签署公布后，及时在本级人民政   府公报和在本行政区域范围内发行的报纸上刊登。在地方人民政府公报上刊登的规章文本为   </w:t>
      </w:r>
      <w:r>
        <w:rPr>
          <w:sz w:val="21"/>
        </w:rPr>
        <w:t>标准文本。</w:t>
      </w:r>
    </w:p>
    <w:p>
      <w:pPr>
        <w:spacing w:line="424" w:lineRule="auto" w:before="101"/>
        <w:ind w:left="221" w:right="295" w:firstLine="420"/>
        <w:jc w:val="left"/>
        <w:rPr>
          <w:sz w:val="21"/>
        </w:rPr>
      </w:pPr>
      <w:r>
        <w:rPr>
          <w:w w:val="95"/>
          <w:sz w:val="21"/>
        </w:rPr>
        <w:t>《中华人民共和国政府信息公开条例》第十五条：行政机关应当将主动公开的政府信息，   </w:t>
      </w:r>
      <w:r>
        <w:rPr>
          <w:sz w:val="21"/>
        </w:rPr>
        <w:t>通过政府公报、政府网站、新闻发布会以及报刊、广播、电视等便于公众知晓的方式公开。</w:t>
      </w:r>
    </w:p>
    <w:p>
      <w:pPr>
        <w:spacing w:line="424" w:lineRule="auto" w:before="101"/>
        <w:ind w:left="221" w:right="504" w:firstLine="420"/>
        <w:jc w:val="left"/>
        <w:rPr>
          <w:sz w:val="21"/>
        </w:rPr>
      </w:pPr>
      <w:r>
        <w:rPr>
          <w:w w:val="95"/>
          <w:sz w:val="21"/>
        </w:rPr>
        <w:t>《山东省规章和规范性文件备案规定》第四条：规章和规范性文件应当通过政府公报、  </w:t>
      </w:r>
      <w:r>
        <w:rPr>
          <w:sz w:val="21"/>
        </w:rPr>
        <w:t>当地报刊、政府网站等媒体向社会公布。未经公布的，不得实施。</w:t>
      </w:r>
    </w:p>
    <w:p>
      <w:pPr>
        <w:spacing w:line="424" w:lineRule="auto" w:before="100"/>
        <w:ind w:left="221" w:right="504" w:firstLine="420"/>
        <w:jc w:val="both"/>
        <w:rPr>
          <w:sz w:val="21"/>
        </w:rPr>
      </w:pPr>
      <w:r>
        <w:rPr>
          <w:w w:val="95"/>
          <w:sz w:val="21"/>
        </w:rPr>
        <w:t>《山东省行政程序规定》第五十条：制定规范性文件实行统一登记、统一编制登记号、   统一公布制度。未经统一登记、统一编制登记号、统一公布的规范性文件无效，不得作为行   </w:t>
      </w:r>
      <w:r>
        <w:rPr>
          <w:sz w:val="21"/>
        </w:rPr>
        <w:t>政管理的依据。</w:t>
      </w:r>
    </w:p>
    <w:p>
      <w:pPr>
        <w:spacing w:after="0" w:line="424" w:lineRule="auto"/>
        <w:jc w:val="both"/>
        <w:rPr>
          <w:sz w:val="21"/>
        </w:rPr>
        <w:sectPr>
          <w:pgSz w:w="11910" w:h="16840"/>
          <w:pgMar w:header="0" w:footer="975" w:top="1560" w:bottom="1160" w:left="1480" w:right="1300"/>
        </w:sectPr>
      </w:pPr>
    </w:p>
    <w:p>
      <w:pPr>
        <w:pStyle w:val="BodyText"/>
        <w:tabs>
          <w:tab w:pos="4793" w:val="left" w:leader="none"/>
        </w:tabs>
        <w:spacing w:before="115"/>
        <w:ind w:left="3833"/>
        <w:rPr>
          <w:rFonts w:ascii="黑体" w:eastAsia="黑体" w:hint="eastAsia"/>
        </w:rPr>
      </w:pPr>
      <w:r>
        <w:rPr>
          <w:rFonts w:ascii="黑体" w:eastAsia="黑体" w:hint="eastAsia"/>
        </w:rPr>
        <w:t>目</w:t>
        <w:tab/>
        <w:t>录</w:t>
      </w:r>
    </w:p>
    <w:p>
      <w:pPr>
        <w:pStyle w:val="BodyText"/>
        <w:spacing w:before="150"/>
        <w:ind w:left="104"/>
        <w:rPr>
          <w:rFonts w:ascii="黑体" w:eastAsia="黑体" w:hint="eastAsia"/>
        </w:rPr>
      </w:pPr>
      <w:r>
        <w:rPr>
          <w:rFonts w:ascii="黑体" w:eastAsia="黑体" w:hint="eastAsia"/>
        </w:rPr>
        <w:t>郯城县政府文件</w:t>
      </w:r>
    </w:p>
    <w:p>
      <w:pPr>
        <w:pStyle w:val="BodyText"/>
        <w:spacing w:before="5"/>
        <w:rPr>
          <w:rFonts w:ascii="黑体"/>
          <w:sz w:val="8"/>
        </w:rPr>
      </w:pPr>
    </w:p>
    <w:sdt>
      <w:sdtPr>
        <w:docPartObj>
          <w:docPartGallery w:val="Table of Contents"/>
          <w:docPartUnique/>
        </w:docPartObj>
      </w:sdtPr>
      <w:sdtEndPr/>
      <w:sdtContent>
        <w:p>
          <w:pPr>
            <w:pStyle w:val="TOC1"/>
            <w:tabs>
              <w:tab w:pos="8602" w:val="left" w:leader="dot"/>
            </w:tabs>
            <w:spacing w:line="300" w:lineRule="auto" w:before="41"/>
            <w:ind w:right="284"/>
            <w:rPr>
              <w:rFonts w:ascii="宋体" w:eastAsia="宋体" w:hint="eastAsia"/>
              <w:sz w:val="26"/>
            </w:rPr>
          </w:pPr>
          <w:r>
            <w:rPr>
              <w:spacing w:val="5"/>
              <w:w w:val="95"/>
            </w:rPr>
            <w:t>郯城县人民</w:t>
          </w:r>
          <w:r>
            <w:rPr>
              <w:w w:val="95"/>
            </w:rPr>
            <w:t>政</w:t>
          </w:r>
          <w:r>
            <w:rPr>
              <w:spacing w:val="5"/>
              <w:w w:val="95"/>
            </w:rPr>
            <w:t>府关于印发郯城县人</w:t>
          </w:r>
          <w:r>
            <w:rPr>
              <w:w w:val="95"/>
            </w:rPr>
            <w:t>民</w:t>
          </w:r>
          <w:r>
            <w:rPr>
              <w:spacing w:val="5"/>
              <w:w w:val="95"/>
            </w:rPr>
            <w:t>政府规范性文件管理</w:t>
          </w:r>
          <w:r>
            <w:rPr>
              <w:w w:val="95"/>
            </w:rPr>
            <w:t>规</w:t>
          </w:r>
          <w:r>
            <w:rPr>
              <w:spacing w:val="-17"/>
              <w:w w:val="95"/>
            </w:rPr>
            <w:t>定 </w:t>
          </w:r>
          <w:r>
            <w:rPr/>
            <w:t>的通知（郯政发〔2018〕5</w:t>
          </w:r>
          <w:r>
            <w:rPr>
              <w:spacing w:val="-4"/>
            </w:rPr>
            <w:t> </w:t>
          </w:r>
          <w:r>
            <w:rPr/>
            <w:t>号</w:t>
            <w:tab/>
          </w:r>
          <w:r>
            <w:rPr>
              <w:rFonts w:ascii="宋体" w:eastAsia="宋体" w:hint="eastAsia"/>
              <w:sz w:val="26"/>
            </w:rPr>
            <w:t>1</w:t>
          </w:r>
        </w:p>
        <w:p>
          <w:pPr>
            <w:pStyle w:val="TOC1"/>
          </w:pPr>
          <w:r>
            <w:rPr>
              <w:spacing w:val="1"/>
              <w:w w:val="95"/>
            </w:rPr>
            <w:t>郯城县人民政府关于印发郯城县政府合同管理暂行办法的通知</w:t>
          </w:r>
        </w:p>
        <w:p>
          <w:pPr>
            <w:pStyle w:val="TOC1"/>
            <w:tabs>
              <w:tab w:pos="8525" w:val="left" w:leader="dot"/>
            </w:tabs>
            <w:spacing w:before="112"/>
            <w:rPr>
              <w:rFonts w:ascii="宋体" w:eastAsia="宋体" w:hint="eastAsia"/>
              <w:sz w:val="26"/>
            </w:rPr>
          </w:pPr>
          <w:r>
            <w:rPr/>
            <w:t>（郯政发〔2018〕8）</w:t>
            <w:tab/>
          </w:r>
          <w:r>
            <w:rPr>
              <w:rFonts w:ascii="宋体" w:eastAsia="宋体" w:hint="eastAsia"/>
              <w:sz w:val="26"/>
            </w:rPr>
            <w:t>24</w:t>
          </w:r>
        </w:p>
        <w:p>
          <w:pPr>
            <w:pStyle w:val="TOC1"/>
            <w:spacing w:before="114"/>
            <w:rPr>
              <w:rFonts w:ascii="黑体" w:eastAsia="黑体" w:hint="eastAsia"/>
            </w:rPr>
          </w:pPr>
          <w:hyperlink w:history="true" w:anchor="_TOC_250000">
            <w:r>
              <w:rPr>
                <w:rFonts w:ascii="黑体" w:eastAsia="黑体" w:hint="eastAsia"/>
              </w:rPr>
              <w:t>郯城县人民政府办公室文件</w:t>
            </w:r>
          </w:hyperlink>
        </w:p>
        <w:p>
          <w:pPr>
            <w:pStyle w:val="TOC1"/>
            <w:tabs>
              <w:tab w:pos="8580" w:val="left" w:leader="dot"/>
            </w:tabs>
            <w:spacing w:line="300" w:lineRule="auto" w:before="149"/>
            <w:ind w:right="284"/>
            <w:rPr>
              <w:rFonts w:ascii="宋体" w:hAnsi="宋体" w:eastAsia="宋体" w:hint="eastAsia"/>
              <w:sz w:val="26"/>
            </w:rPr>
          </w:pPr>
          <w:r>
            <w:rPr>
              <w:spacing w:val="5"/>
              <w:w w:val="95"/>
            </w:rPr>
            <w:t>郯城县人民</w:t>
          </w:r>
          <w:r>
            <w:rPr>
              <w:w w:val="95"/>
            </w:rPr>
            <w:t>政</w:t>
          </w:r>
          <w:r>
            <w:rPr>
              <w:spacing w:val="5"/>
              <w:w w:val="95"/>
            </w:rPr>
            <w:t>府办公室关于印</w:t>
          </w:r>
          <w:r>
            <w:rPr>
              <w:w w:val="95"/>
            </w:rPr>
            <w:t>发</w:t>
          </w:r>
          <w:r>
            <w:rPr>
              <w:spacing w:val="5"/>
              <w:w w:val="95"/>
            </w:rPr>
            <w:t>“郯城和谐使者</w:t>
          </w:r>
          <w:r>
            <w:rPr>
              <w:w w:val="95"/>
            </w:rPr>
            <w:t>”</w:t>
          </w:r>
          <w:r>
            <w:rPr>
              <w:spacing w:val="5"/>
              <w:w w:val="95"/>
            </w:rPr>
            <w:t>选拔管理</w:t>
          </w:r>
          <w:r>
            <w:rPr>
              <w:spacing w:val="-17"/>
              <w:w w:val="95"/>
            </w:rPr>
            <w:t>暂 </w:t>
          </w:r>
          <w:r>
            <w:rPr/>
            <w:t>行办法的通</w:t>
          </w:r>
          <w:r>
            <w:rPr>
              <w:spacing w:val="-10"/>
            </w:rPr>
            <w:t>知</w:t>
          </w:r>
          <w:r>
            <w:rPr/>
            <w:t>（郯政办</w:t>
          </w:r>
          <w:r>
            <w:rPr>
              <w:spacing w:val="-10"/>
            </w:rPr>
            <w:t>发</w:t>
          </w:r>
          <w:r>
            <w:rPr/>
            <w:t>〔2018</w:t>
          </w:r>
          <w:r>
            <w:rPr>
              <w:spacing w:val="-10"/>
            </w:rPr>
            <w:t>〕</w:t>
          </w:r>
          <w:r>
            <w:rPr/>
            <w:t>11</w:t>
          </w:r>
          <w:r>
            <w:rPr>
              <w:spacing w:val="-6"/>
            </w:rPr>
            <w:t> </w:t>
          </w:r>
          <w:r>
            <w:rPr/>
            <w:t>号）</w:t>
            <w:tab/>
          </w:r>
          <w:r>
            <w:rPr>
              <w:rFonts w:ascii="宋体" w:hAnsi="宋体" w:eastAsia="宋体" w:hint="eastAsia"/>
              <w:spacing w:val="-9"/>
              <w:sz w:val="26"/>
            </w:rPr>
            <w:t>39</w:t>
          </w:r>
        </w:p>
      </w:sdtContent>
    </w:sdt>
    <w:p>
      <w:pPr>
        <w:spacing w:after="0" w:line="300" w:lineRule="auto"/>
        <w:rPr>
          <w:rFonts w:ascii="宋体" w:hAnsi="宋体" w:eastAsia="宋体" w:hint="eastAsia"/>
          <w:sz w:val="26"/>
        </w:rPr>
        <w:sectPr>
          <w:pgSz w:w="11910" w:h="16840"/>
          <w:pgMar w:header="0" w:footer="975" w:top="1580" w:bottom="1260" w:left="1480" w:right="1300"/>
        </w:sectPr>
      </w:pPr>
    </w:p>
    <w:p>
      <w:pPr>
        <w:pStyle w:val="BodyText"/>
        <w:spacing w:before="183"/>
        <w:ind w:left="221"/>
        <w:rPr>
          <w:rFonts w:ascii="黑体"/>
        </w:rPr>
      </w:pPr>
      <w:r>
        <w:rPr>
          <w:rFonts w:ascii="黑体"/>
        </w:rPr>
        <w:t>TCDR-2018-001001</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4"/>
        <w:rPr>
          <w:rFonts w:ascii="黑体"/>
          <w:sz w:val="16"/>
        </w:rPr>
      </w:pPr>
      <w:r>
        <w:rPr/>
        <w:pict>
          <v:group style="position:absolute;margin-left:106.911003pt;margin-top:13.056pt;width:168.15pt;height:63.2pt;mso-position-horizontal-relative:page;mso-position-vertical-relative:paragraph;z-index:-251658240;mso-wrap-distance-left:0;mso-wrap-distance-right:0" coordorigin="2138,261" coordsize="3363,1264">
            <v:shape style="position:absolute;left:2138;top:263;width:799;height:1258" type="#_x0000_t75" stroked="false">
              <v:imagedata r:id="rId8" o:title=""/>
            </v:shape>
            <v:shape style="position:absolute;left:2983;top:261;width:805;height:1264" type="#_x0000_t75" stroked="false">
              <v:imagedata r:id="rId9" o:title=""/>
            </v:shape>
            <v:shape style="position:absolute;left:3839;top:285;width:812;height:1204" type="#_x0000_t75" stroked="false">
              <v:imagedata r:id="rId10" o:title=""/>
            </v:shape>
            <v:shape style="position:absolute;left:4700;top:268;width:800;height:1234" type="#_x0000_t75" stroked="false">
              <v:imagedata r:id="rId11" o:title=""/>
            </v:shape>
            <w10:wrap type="topAndBottom"/>
          </v:group>
        </w:pict>
      </w:r>
      <w:r>
        <w:rPr/>
        <w:pict>
          <v:group style="position:absolute;margin-left:281.462006pt;margin-top:12.419pt;width:207.3pt;height:64.3500pt;mso-position-horizontal-relative:page;mso-position-vertical-relative:paragraph;z-index:-251657216;mso-wrap-distance-left:0;mso-wrap-distance-right:0" coordorigin="5629,248" coordsize="4146,1287">
            <v:shape style="position:absolute;left:5629;top:294;width:709;height:1204" type="#_x0000_t75" stroked="false">
              <v:imagedata r:id="rId12" o:title=""/>
            </v:shape>
            <v:shape style="position:absolute;left:6395;top:248;width:813;height:1264" type="#_x0000_t75" stroked="false">
              <v:imagedata r:id="rId13" o:title=""/>
            </v:shape>
            <v:shape style="position:absolute;left:7250;top:252;width:817;height:1282" type="#_x0000_t75" stroked="false">
              <v:imagedata r:id="rId14" o:title=""/>
            </v:shape>
            <v:shape style="position:absolute;left:8114;top:278;width:797;height:1228" type="#_x0000_t75" stroked="false">
              <v:imagedata r:id="rId15" o:title=""/>
            </v:shape>
            <v:shape style="position:absolute;left:8957;top:251;width:817;height:1278" type="#_x0000_t75" stroked="false">
              <v:imagedata r:id="rId16" o:title=""/>
            </v:shape>
            <w10:wrap type="topAndBottom"/>
          </v:group>
        </w:pict>
      </w:r>
    </w:p>
    <w:p>
      <w:pPr>
        <w:pStyle w:val="BodyText"/>
        <w:rPr>
          <w:rFonts w:ascii="黑体"/>
          <w:sz w:val="38"/>
        </w:rPr>
      </w:pPr>
    </w:p>
    <w:p>
      <w:pPr>
        <w:pStyle w:val="BodyText"/>
        <w:spacing w:before="1"/>
        <w:rPr>
          <w:rFonts w:ascii="黑体"/>
          <w:sz w:val="51"/>
        </w:rPr>
      </w:pPr>
    </w:p>
    <w:p>
      <w:pPr>
        <w:pStyle w:val="BodyText"/>
        <w:ind w:left="631" w:right="808"/>
        <w:jc w:val="center"/>
      </w:pPr>
      <w:r>
        <w:rPr/>
        <w:pict>
          <v:line style="position:absolute;mso-position-horizontal-relative:page;mso-position-vertical-relative:paragraph;z-index:251660288" from="85.050003pt,26.359985pt" to="535.050003pt,26.359985pt" stroked="true" strokeweight="1.25pt" strokecolor="#ff0000">
            <v:stroke dashstyle="solid"/>
            <w10:wrap type="none"/>
          </v:line>
        </w:pict>
      </w:r>
      <w:r>
        <w:rPr>
          <w:rFonts w:ascii="仿宋_GB2312" w:eastAsia="仿宋_GB2312" w:hint="eastAsia"/>
        </w:rPr>
        <w:t>郯政发</w:t>
      </w:r>
      <w:r>
        <w:rPr/>
        <w:t>〔2018〕5 号</w:t>
      </w:r>
    </w:p>
    <w:p>
      <w:pPr>
        <w:pStyle w:val="BodyText"/>
        <w:spacing w:before="2"/>
        <w:rPr>
          <w:sz w:val="56"/>
        </w:rPr>
      </w:pPr>
    </w:p>
    <w:p>
      <w:pPr>
        <w:pStyle w:val="Heading2"/>
        <w:spacing w:line="689" w:lineRule="exact"/>
        <w:ind w:right="853"/>
      </w:pPr>
      <w:r>
        <w:rPr>
          <w:spacing w:val="35"/>
          <w:w w:val="95"/>
        </w:rPr>
        <w:t>郯城县人民政府</w:t>
      </w:r>
    </w:p>
    <w:p>
      <w:pPr>
        <w:spacing w:line="184" w:lineRule="auto" w:before="32"/>
        <w:ind w:left="631" w:right="854" w:firstLine="0"/>
        <w:jc w:val="center"/>
        <w:rPr>
          <w:rFonts w:ascii="方正小标宋简体" w:eastAsia="方正小标宋简体" w:hint="eastAsia"/>
          <w:sz w:val="44"/>
        </w:rPr>
      </w:pPr>
      <w:r>
        <w:rPr>
          <w:rFonts w:ascii="方正小标宋简体" w:eastAsia="方正小标宋简体" w:hint="eastAsia"/>
          <w:spacing w:val="37"/>
          <w:w w:val="95"/>
          <w:sz w:val="44"/>
        </w:rPr>
        <w:t>关于印发郯城县人民政府规范性文件</w:t>
      </w:r>
      <w:r>
        <w:rPr>
          <w:rFonts w:ascii="方正小标宋简体" w:eastAsia="方正小标宋简体" w:hint="eastAsia"/>
          <w:spacing w:val="35"/>
          <w:sz w:val="44"/>
        </w:rPr>
        <w:t>管理规定的通知</w:t>
      </w:r>
    </w:p>
    <w:p>
      <w:pPr>
        <w:pStyle w:val="BodyText"/>
        <w:spacing w:before="14"/>
        <w:rPr>
          <w:rFonts w:ascii="方正小标宋简体"/>
          <w:sz w:val="38"/>
        </w:rPr>
      </w:pPr>
    </w:p>
    <w:p>
      <w:pPr>
        <w:pStyle w:val="BodyText"/>
        <w:spacing w:line="321" w:lineRule="auto"/>
        <w:ind w:left="221" w:right="399"/>
        <w:jc w:val="both"/>
      </w:pPr>
      <w:r>
        <w:rPr>
          <w:spacing w:val="-11"/>
          <w:w w:val="95"/>
        </w:rPr>
        <w:t>各乡镇人民政府、郯城街道办事处，县政府各部门，科级以上 </w:t>
      </w:r>
      <w:r>
        <w:rPr>
          <w:spacing w:val="-14"/>
        </w:rPr>
        <w:t>事业单位，省、市直驻郯各单位，郯城经济开发区管委会，马陵山景区管委会，新村银杏产业开发区管委会：</w:t>
      </w:r>
    </w:p>
    <w:p>
      <w:pPr>
        <w:pStyle w:val="BodyText"/>
        <w:spacing w:line="321" w:lineRule="auto" w:before="1"/>
        <w:ind w:left="221" w:right="242" w:firstLine="638"/>
      </w:pPr>
      <w:r>
        <w:rPr>
          <w:spacing w:val="-20"/>
          <w:w w:val="95"/>
        </w:rPr>
        <w:t>现将《郯城县人民政府规范性文件管理规定》印发给你们， </w:t>
      </w:r>
      <w:r>
        <w:rPr>
          <w:spacing w:val="-20"/>
        </w:rPr>
        <w:t>请认真贯彻遵照执行。</w:t>
      </w:r>
    </w:p>
    <w:p>
      <w:pPr>
        <w:spacing w:after="0" w:line="321" w:lineRule="auto"/>
        <w:sectPr>
          <w:footerReference w:type="default" r:id="rId7"/>
          <w:pgSz w:w="11910" w:h="16840"/>
          <w:pgMar w:footer="1294" w:header="0" w:top="1580" w:bottom="1480" w:left="1480" w:right="1300"/>
          <w:pgNumType w:start="4"/>
        </w:sectPr>
      </w:pPr>
    </w:p>
    <w:p>
      <w:pPr>
        <w:pStyle w:val="BodyText"/>
        <w:spacing w:before="10"/>
        <w:rPr>
          <w:sz w:val="7"/>
        </w:rPr>
      </w:pPr>
    </w:p>
    <w:p>
      <w:pPr>
        <w:pStyle w:val="BodyText"/>
        <w:spacing w:line="321" w:lineRule="auto" w:before="41"/>
        <w:ind w:left="5981" w:right="761"/>
      </w:pPr>
      <w:r>
        <w:rPr/>
        <w:t>郯城县人民政府2018</w:t>
      </w:r>
      <w:r>
        <w:rPr>
          <w:spacing w:val="-55"/>
        </w:rPr>
        <w:t> 年 </w:t>
      </w:r>
      <w:r>
        <w:rPr/>
        <w:t>2</w:t>
      </w:r>
      <w:r>
        <w:rPr>
          <w:spacing w:val="-54"/>
        </w:rPr>
        <w:t> 月 </w:t>
      </w:r>
      <w:r>
        <w:rPr/>
        <w:t>23</w:t>
      </w:r>
      <w:r>
        <w:rPr>
          <w:spacing w:val="-48"/>
        </w:rPr>
        <w:t> 日</w:t>
      </w:r>
    </w:p>
    <w:p>
      <w:pPr>
        <w:pStyle w:val="BodyText"/>
        <w:spacing w:before="3"/>
        <w:rPr>
          <w:sz w:val="28"/>
        </w:rPr>
      </w:pPr>
    </w:p>
    <w:p>
      <w:pPr>
        <w:pStyle w:val="Heading2"/>
        <w:ind w:right="808"/>
      </w:pPr>
      <w:r>
        <w:rPr/>
        <w:t>郯城县人民政府规范性文件管理规定</w:t>
      </w:r>
    </w:p>
    <w:p>
      <w:pPr>
        <w:pStyle w:val="BodyText"/>
        <w:spacing w:before="8"/>
        <w:rPr>
          <w:rFonts w:ascii="方正小标宋简体"/>
          <w:sz w:val="35"/>
        </w:rPr>
      </w:pPr>
    </w:p>
    <w:p>
      <w:pPr>
        <w:pStyle w:val="BodyText"/>
        <w:tabs>
          <w:tab w:pos="1439" w:val="left" w:leader="none"/>
          <w:tab w:pos="2080" w:val="left" w:leader="none"/>
        </w:tabs>
        <w:ind w:right="180"/>
        <w:jc w:val="center"/>
        <w:rPr>
          <w:rFonts w:ascii="黑体" w:eastAsia="黑体" w:hint="eastAsia"/>
        </w:rPr>
      </w:pPr>
      <w:r>
        <w:rPr>
          <w:rFonts w:ascii="黑体" w:eastAsia="黑体" w:hint="eastAsia"/>
        </w:rPr>
        <w:t>第一章</w:t>
        <w:tab/>
        <w:t>总</w:t>
        <w:tab/>
        <w:t>则</w:t>
      </w:r>
    </w:p>
    <w:p>
      <w:pPr>
        <w:pStyle w:val="BodyText"/>
        <w:rPr>
          <w:rFonts w:ascii="黑体"/>
        </w:rPr>
      </w:pPr>
    </w:p>
    <w:p>
      <w:pPr>
        <w:pStyle w:val="BodyText"/>
        <w:spacing w:before="9"/>
        <w:rPr>
          <w:rFonts w:ascii="黑体"/>
          <w:sz w:val="29"/>
        </w:rPr>
      </w:pPr>
    </w:p>
    <w:p>
      <w:pPr>
        <w:pStyle w:val="BodyText"/>
        <w:tabs>
          <w:tab w:pos="2141" w:val="left" w:leader="none"/>
        </w:tabs>
        <w:spacing w:line="321" w:lineRule="auto"/>
        <w:ind w:left="221" w:right="104" w:firstLine="638"/>
      </w:pPr>
      <w:r>
        <w:rPr>
          <w:rFonts w:ascii="楷体" w:eastAsia="楷体" w:hint="eastAsia"/>
        </w:rPr>
        <w:t>第一条</w:t>
        <w:tab/>
      </w:r>
      <w:r>
        <w:rPr/>
        <w:t>为进一步加强对规范性文件的监督管理</w:t>
      </w:r>
      <w:r>
        <w:rPr>
          <w:spacing w:val="-135"/>
        </w:rPr>
        <w:t>，</w:t>
      </w:r>
      <w:r>
        <w:rPr/>
        <w:t>提高规范性文件质量</w:t>
      </w:r>
      <w:r>
        <w:rPr>
          <w:spacing w:val="-29"/>
        </w:rPr>
        <w:t>，</w:t>
      </w:r>
      <w:r>
        <w:rPr/>
        <w:t>根</w:t>
      </w:r>
      <w:r>
        <w:rPr>
          <w:spacing w:val="-24"/>
        </w:rPr>
        <w:t>据</w:t>
      </w:r>
      <w:r>
        <w:rPr/>
        <w:t>《山东省政府规章制定程序规定</w:t>
      </w:r>
      <w:r>
        <w:rPr>
          <w:spacing w:val="-24"/>
        </w:rPr>
        <w:t>》</w:t>
      </w:r>
      <w:r>
        <w:rPr>
          <w:spacing w:val="-55"/>
        </w:rPr>
        <w:t>、</w:t>
      </w:r>
      <w:r>
        <w:rPr/>
        <w:t>《山</w:t>
      </w:r>
      <w:r>
        <w:rPr>
          <w:w w:val="95"/>
        </w:rPr>
        <w:t>东省行政程序规定</w:t>
      </w:r>
      <w:r>
        <w:rPr>
          <w:spacing w:val="-39"/>
          <w:w w:val="95"/>
        </w:rPr>
        <w:t>》</w:t>
      </w:r>
      <w:r>
        <w:rPr>
          <w:spacing w:val="-79"/>
          <w:w w:val="95"/>
        </w:rPr>
        <w:t>、</w:t>
      </w:r>
      <w:r>
        <w:rPr>
          <w:w w:val="95"/>
        </w:rPr>
        <w:t>《山东省规章和规范性文件备案规定</w:t>
      </w:r>
      <w:r>
        <w:rPr>
          <w:spacing w:val="-39"/>
          <w:w w:val="95"/>
        </w:rPr>
        <w:t>》</w:t>
      </w:r>
      <w:r>
        <w:rPr>
          <w:w w:val="95"/>
        </w:rPr>
        <w:t>、</w:t>
      </w:r>
    </w:p>
    <w:p>
      <w:pPr>
        <w:pStyle w:val="BodyText"/>
        <w:spacing w:line="321" w:lineRule="auto" w:before="1"/>
        <w:ind w:left="221" w:right="335"/>
      </w:pPr>
      <w:r>
        <w:rPr/>
        <w:t>《临沂市人民政府规范性文件管理规定》（临政发</w:t>
      </w:r>
      <w:r>
        <w:rPr>
          <w:rFonts w:ascii="仿宋_GB2312" w:eastAsia="仿宋_GB2312" w:hint="eastAsia"/>
        </w:rPr>
        <w:t>〔</w:t>
      </w:r>
      <w:r>
        <w:rPr/>
        <w:t>2017</w:t>
      </w:r>
      <w:r>
        <w:rPr>
          <w:rFonts w:ascii="仿宋_GB2312" w:eastAsia="仿宋_GB2312" w:hint="eastAsia"/>
        </w:rPr>
        <w:t>〕</w:t>
      </w:r>
      <w:r>
        <w:rPr/>
        <w:t>27 号）等有关规定，结合我县实际，制定本规定。</w:t>
      </w:r>
    </w:p>
    <w:p>
      <w:pPr>
        <w:pStyle w:val="BodyText"/>
        <w:spacing w:line="321" w:lineRule="auto" w:before="1"/>
        <w:ind w:left="221" w:right="399" w:firstLine="638"/>
        <w:jc w:val="both"/>
      </w:pPr>
      <w:r>
        <w:rPr>
          <w:rFonts w:ascii="楷体" w:eastAsia="楷体" w:hint="eastAsia"/>
          <w:spacing w:val="37"/>
        </w:rPr>
        <w:t>第二条 </w:t>
      </w:r>
      <w:r>
        <w:rPr>
          <w:spacing w:val="-10"/>
        </w:rPr>
        <w:t>本规定所称规范性文件，是指除政府规章外，行</w:t>
      </w:r>
      <w:r>
        <w:rPr>
          <w:spacing w:val="-15"/>
          <w:w w:val="95"/>
        </w:rPr>
        <w:t>政机关和法律、法规、规章授权的具有公共事务管理职能的组 </w:t>
      </w:r>
      <w:r>
        <w:rPr>
          <w:spacing w:val="-17"/>
          <w:w w:val="95"/>
        </w:rPr>
        <w:t>织等在法定职权范围内，按照法定程序制定并公开发布的，对 </w:t>
      </w:r>
      <w:r>
        <w:rPr>
          <w:spacing w:val="-15"/>
          <w:w w:val="95"/>
        </w:rPr>
        <w:t>公民、法人和其他组织具有普遍约束力，可反复适用的行政公 </w:t>
      </w:r>
      <w:r>
        <w:rPr>
          <w:spacing w:val="-15"/>
        </w:rPr>
        <w:t>文。</w:t>
      </w:r>
    </w:p>
    <w:p>
      <w:pPr>
        <w:pStyle w:val="BodyText"/>
        <w:tabs>
          <w:tab w:pos="2179" w:val="left" w:leader="none"/>
        </w:tabs>
        <w:spacing w:line="321" w:lineRule="auto" w:before="1"/>
        <w:ind w:left="221" w:right="266" w:firstLine="638"/>
      </w:pPr>
      <w:r>
        <w:rPr>
          <w:rFonts w:ascii="楷体" w:eastAsia="楷体" w:hint="eastAsia"/>
          <w:spacing w:val="9"/>
        </w:rPr>
        <w:t>第</w:t>
      </w:r>
      <w:r>
        <w:rPr>
          <w:rFonts w:ascii="楷体" w:eastAsia="楷体" w:hint="eastAsia"/>
          <w:spacing w:val="7"/>
        </w:rPr>
        <w:t>三</w:t>
      </w:r>
      <w:r>
        <w:rPr>
          <w:rFonts w:ascii="楷体" w:eastAsia="楷体" w:hint="eastAsia"/>
        </w:rPr>
        <w:t>条</w:t>
        <w:tab/>
      </w:r>
      <w:r>
        <w:rPr>
          <w:spacing w:val="9"/>
        </w:rPr>
        <w:t>县</w:t>
      </w:r>
      <w:r>
        <w:rPr>
          <w:spacing w:val="7"/>
        </w:rPr>
        <w:t>政</w:t>
      </w:r>
      <w:r>
        <w:rPr>
          <w:spacing w:val="9"/>
        </w:rPr>
        <w:t>府</w:t>
      </w:r>
      <w:r>
        <w:rPr>
          <w:spacing w:val="7"/>
        </w:rPr>
        <w:t>及</w:t>
      </w:r>
      <w:r>
        <w:rPr>
          <w:spacing w:val="9"/>
        </w:rPr>
        <w:t>县</w:t>
      </w:r>
      <w:r>
        <w:rPr>
          <w:spacing w:val="7"/>
        </w:rPr>
        <w:t>政</w:t>
      </w:r>
      <w:r>
        <w:rPr>
          <w:spacing w:val="9"/>
        </w:rPr>
        <w:t>府</w:t>
      </w:r>
      <w:r>
        <w:rPr>
          <w:spacing w:val="7"/>
        </w:rPr>
        <w:t>办</w:t>
      </w:r>
      <w:r>
        <w:rPr>
          <w:spacing w:val="9"/>
        </w:rPr>
        <w:t>公</w:t>
      </w:r>
      <w:r>
        <w:rPr>
          <w:spacing w:val="7"/>
        </w:rPr>
        <w:t>室</w:t>
      </w:r>
      <w:r>
        <w:rPr>
          <w:spacing w:val="9"/>
        </w:rPr>
        <w:t>制</w:t>
      </w:r>
      <w:r>
        <w:rPr>
          <w:spacing w:val="7"/>
        </w:rPr>
        <w:t>定</w:t>
      </w:r>
      <w:r>
        <w:rPr>
          <w:spacing w:val="9"/>
        </w:rPr>
        <w:t>并</w:t>
      </w:r>
      <w:r>
        <w:rPr>
          <w:spacing w:val="7"/>
        </w:rPr>
        <w:t>发</w:t>
      </w:r>
      <w:r>
        <w:rPr>
          <w:spacing w:val="9"/>
        </w:rPr>
        <w:t>布</w:t>
      </w:r>
      <w:r>
        <w:rPr>
          <w:spacing w:val="7"/>
        </w:rPr>
        <w:t>的</w:t>
      </w:r>
      <w:r>
        <w:rPr>
          <w:spacing w:val="9"/>
        </w:rPr>
        <w:t>规</w:t>
      </w:r>
      <w:r>
        <w:rPr>
          <w:spacing w:val="7"/>
        </w:rPr>
        <w:t>范</w:t>
      </w:r>
      <w:r>
        <w:rPr>
          <w:spacing w:val="9"/>
        </w:rPr>
        <w:t>性</w:t>
      </w:r>
      <w:r>
        <w:rPr/>
        <w:t>文件</w:t>
      </w:r>
      <w:r>
        <w:rPr>
          <w:spacing w:val="-46"/>
        </w:rPr>
        <w:t>，</w:t>
      </w:r>
      <w:r>
        <w:rPr/>
        <w:t>为县政府规范性文件</w:t>
      </w:r>
      <w:r>
        <w:rPr>
          <w:spacing w:val="-46"/>
        </w:rPr>
        <w:t>。</w:t>
      </w:r>
      <w:r>
        <w:rPr/>
        <w:t>县政府工作部门</w:t>
      </w:r>
      <w:r>
        <w:rPr>
          <w:spacing w:val="-46"/>
        </w:rPr>
        <w:t>、</w:t>
      </w:r>
      <w:r>
        <w:rPr/>
        <w:t>县政府派出机关和派出机构</w:t>
      </w:r>
      <w:r>
        <w:rPr>
          <w:spacing w:val="-135"/>
        </w:rPr>
        <w:t>、</w:t>
      </w:r>
      <w:r>
        <w:rPr/>
        <w:t>依法具有行政管理职能的机构等以单位名义制定并发布的规范性文件，为县政府部门规范性文件。临时机构</w:t>
      </w:r>
      <w:r>
        <w:rPr>
          <w:spacing w:val="-11"/>
        </w:rPr>
        <w:t>、</w:t>
      </w:r>
      <w:r>
        <w:rPr/>
        <w:t>议事协调机构</w:t>
      </w:r>
      <w:r>
        <w:rPr>
          <w:spacing w:val="-67"/>
        </w:rPr>
        <w:t>、</w:t>
      </w:r>
      <w:r>
        <w:rPr/>
        <w:t>政府部门的派出机构</w:t>
      </w:r>
      <w:r>
        <w:rPr>
          <w:spacing w:val="-67"/>
        </w:rPr>
        <w:t>、</w:t>
      </w:r>
      <w:r>
        <w:rPr/>
        <w:t>部门内设机构不得制定</w:t>
      </w:r>
    </w:p>
    <w:p>
      <w:pPr>
        <w:spacing w:after="0" w:line="321" w:lineRule="auto"/>
        <w:sectPr>
          <w:pgSz w:w="11910" w:h="16840"/>
          <w:pgMar w:header="0" w:footer="1294" w:top="1580" w:bottom="1480" w:left="1480" w:right="1300"/>
        </w:sectPr>
      </w:pPr>
    </w:p>
    <w:p>
      <w:pPr>
        <w:pStyle w:val="BodyText"/>
        <w:spacing w:before="10"/>
        <w:rPr>
          <w:sz w:val="7"/>
        </w:rPr>
      </w:pPr>
    </w:p>
    <w:p>
      <w:pPr>
        <w:pStyle w:val="BodyText"/>
        <w:spacing w:before="41"/>
        <w:ind w:left="221"/>
      </w:pPr>
      <w:r>
        <w:rPr/>
        <w:t>规范性文件。</w:t>
      </w:r>
    </w:p>
    <w:p>
      <w:pPr>
        <w:pStyle w:val="BodyText"/>
        <w:tabs>
          <w:tab w:pos="2141" w:val="left" w:leader="none"/>
        </w:tabs>
        <w:spacing w:line="321" w:lineRule="auto" w:before="153"/>
        <w:ind w:left="221" w:right="401" w:firstLine="638"/>
      </w:pPr>
      <w:r>
        <w:rPr>
          <w:rFonts w:ascii="楷体" w:eastAsia="楷体" w:hint="eastAsia"/>
        </w:rPr>
        <w:t>第四条</w:t>
        <w:tab/>
      </w:r>
      <w:r>
        <w:rPr/>
        <w:t>规范性文件涉及多个县政府部门的</w:t>
      </w:r>
      <w:r>
        <w:rPr>
          <w:spacing w:val="-137"/>
        </w:rPr>
        <w:t>，</w:t>
      </w:r>
      <w:r>
        <w:rPr/>
        <w:t>应制定县</w:t>
      </w:r>
      <w:r>
        <w:rPr>
          <w:spacing w:val="-11"/>
        </w:rPr>
        <w:t>政</w:t>
      </w:r>
      <w:r>
        <w:rPr/>
        <w:t>府规范性文件，或由有关部门联合制定县政府部门规范性文件。</w:t>
      </w:r>
    </w:p>
    <w:p>
      <w:pPr>
        <w:pStyle w:val="BodyText"/>
        <w:tabs>
          <w:tab w:pos="2141" w:val="left" w:leader="none"/>
        </w:tabs>
        <w:spacing w:line="321" w:lineRule="auto" w:before="1"/>
        <w:ind w:left="221" w:right="399" w:firstLine="638"/>
      </w:pPr>
      <w:r>
        <w:rPr>
          <w:rFonts w:ascii="楷体" w:eastAsia="楷体" w:hint="eastAsia"/>
        </w:rPr>
        <w:t>第五条</w:t>
        <w:tab/>
      </w:r>
      <w:r>
        <w:rPr/>
        <w:t>县政府规范性文件和县政府部门规范性文件的</w:t>
      </w:r>
      <w:r>
        <w:rPr>
          <w:w w:val="95"/>
        </w:rPr>
        <w:t>计划编制</w:t>
      </w:r>
      <w:r>
        <w:rPr>
          <w:spacing w:val="-17"/>
          <w:w w:val="95"/>
        </w:rPr>
        <w:t>、</w:t>
      </w:r>
      <w:r>
        <w:rPr>
          <w:w w:val="95"/>
        </w:rPr>
        <w:t>起草</w:t>
      </w:r>
      <w:r>
        <w:rPr>
          <w:spacing w:val="-17"/>
          <w:w w:val="95"/>
        </w:rPr>
        <w:t>、</w:t>
      </w:r>
      <w:r>
        <w:rPr>
          <w:w w:val="95"/>
        </w:rPr>
        <w:t>审查</w:t>
      </w:r>
      <w:r>
        <w:rPr>
          <w:spacing w:val="-17"/>
          <w:w w:val="95"/>
        </w:rPr>
        <w:t>、</w:t>
      </w:r>
      <w:r>
        <w:rPr>
          <w:w w:val="95"/>
        </w:rPr>
        <w:t>审议</w:t>
      </w:r>
      <w:r>
        <w:rPr>
          <w:spacing w:val="-17"/>
          <w:w w:val="95"/>
        </w:rPr>
        <w:t>、</w:t>
      </w:r>
      <w:r>
        <w:rPr>
          <w:w w:val="95"/>
        </w:rPr>
        <w:t>签署</w:t>
      </w:r>
      <w:r>
        <w:rPr>
          <w:spacing w:val="-17"/>
          <w:w w:val="95"/>
        </w:rPr>
        <w:t>、</w:t>
      </w:r>
      <w:r>
        <w:rPr>
          <w:w w:val="95"/>
        </w:rPr>
        <w:t>登记</w:t>
      </w:r>
      <w:r>
        <w:rPr>
          <w:spacing w:val="-17"/>
          <w:w w:val="95"/>
        </w:rPr>
        <w:t>、</w:t>
      </w:r>
      <w:r>
        <w:rPr>
          <w:w w:val="95"/>
        </w:rPr>
        <w:t>编号</w:t>
      </w:r>
      <w:r>
        <w:rPr>
          <w:spacing w:val="-17"/>
          <w:w w:val="95"/>
        </w:rPr>
        <w:t>、</w:t>
      </w:r>
      <w:r>
        <w:rPr>
          <w:w w:val="95"/>
        </w:rPr>
        <w:t>公布</w:t>
      </w:r>
      <w:r>
        <w:rPr>
          <w:spacing w:val="-15"/>
          <w:w w:val="95"/>
        </w:rPr>
        <w:t>、</w:t>
      </w:r>
      <w:r>
        <w:rPr>
          <w:w w:val="95"/>
        </w:rPr>
        <w:t>备 </w:t>
      </w:r>
      <w:r>
        <w:rPr/>
        <w:t>案、解释、评估、清理等活动，适用本规定。</w:t>
      </w:r>
    </w:p>
    <w:p>
      <w:pPr>
        <w:pStyle w:val="BodyText"/>
        <w:tabs>
          <w:tab w:pos="2141" w:val="left" w:leader="none"/>
        </w:tabs>
        <w:spacing w:line="321" w:lineRule="auto" w:before="1"/>
        <w:ind w:left="221" w:right="242" w:firstLine="638"/>
      </w:pPr>
      <w:r>
        <w:rPr>
          <w:rFonts w:ascii="楷体" w:eastAsia="楷体" w:hint="eastAsia"/>
        </w:rPr>
        <w:t>第六条</w:t>
        <w:tab/>
      </w:r>
      <w:r>
        <w:rPr/>
        <w:t>行政机关制定的内部工作制度、人事任免决定、对具体事项的处理决定</w:t>
      </w:r>
      <w:r>
        <w:rPr>
          <w:spacing w:val="-67"/>
        </w:rPr>
        <w:t>、</w:t>
      </w:r>
      <w:r>
        <w:rPr/>
        <w:t>工作部署</w:t>
      </w:r>
      <w:r>
        <w:rPr>
          <w:spacing w:val="-67"/>
        </w:rPr>
        <w:t>、</w:t>
      </w:r>
      <w:r>
        <w:rPr/>
        <w:t>向上级行政机关的请示和报告及其他对公民、法人和其他组织的权利义务没有直接影 </w:t>
      </w:r>
      <w:r>
        <w:rPr>
          <w:w w:val="95"/>
        </w:rPr>
        <w:t>响</w:t>
      </w:r>
      <w:r>
        <w:rPr>
          <w:spacing w:val="-99"/>
          <w:w w:val="95"/>
        </w:rPr>
        <w:t>、</w:t>
      </w:r>
      <w:r>
        <w:rPr>
          <w:w w:val="95"/>
        </w:rPr>
        <w:t>不具有普遍约束力</w:t>
      </w:r>
      <w:r>
        <w:rPr>
          <w:spacing w:val="-99"/>
          <w:w w:val="95"/>
        </w:rPr>
        <w:t>、</w:t>
      </w:r>
      <w:r>
        <w:rPr>
          <w:w w:val="95"/>
        </w:rPr>
        <w:t>不可反复适用的文件</w:t>
      </w:r>
      <w:r>
        <w:rPr>
          <w:spacing w:val="-99"/>
          <w:w w:val="95"/>
        </w:rPr>
        <w:t>，</w:t>
      </w:r>
      <w:r>
        <w:rPr>
          <w:w w:val="95"/>
        </w:rPr>
        <w:t>不适用本规定。</w:t>
      </w:r>
    </w:p>
    <w:p>
      <w:pPr>
        <w:pStyle w:val="BodyText"/>
        <w:tabs>
          <w:tab w:pos="2141" w:val="left" w:leader="none"/>
        </w:tabs>
        <w:spacing w:before="1"/>
        <w:ind w:left="860"/>
      </w:pPr>
      <w:r>
        <w:rPr>
          <w:rFonts w:ascii="楷体" w:eastAsia="楷体" w:hint="eastAsia"/>
        </w:rPr>
        <w:t>第七条</w:t>
        <w:tab/>
      </w:r>
      <w:r>
        <w:rPr/>
        <w:t>规范性文件的制定应遵循下列原则：</w:t>
      </w:r>
    </w:p>
    <w:p>
      <w:pPr>
        <w:pStyle w:val="BodyText"/>
        <w:spacing w:before="153"/>
        <w:ind w:left="860"/>
      </w:pPr>
      <w:r>
        <w:rPr/>
        <w:t>（一）符合法定的权限和程序；</w:t>
      </w:r>
    </w:p>
    <w:p>
      <w:pPr>
        <w:pStyle w:val="BodyText"/>
        <w:spacing w:line="321" w:lineRule="auto" w:before="152"/>
        <w:ind w:left="221" w:right="401" w:firstLine="638"/>
      </w:pPr>
      <w:r>
        <w:rPr/>
        <w:t>（二</w:t>
      </w:r>
      <w:r>
        <w:rPr>
          <w:spacing w:val="-27"/>
        </w:rPr>
        <w:t>）</w:t>
      </w:r>
      <w:r>
        <w:rPr>
          <w:spacing w:val="-11"/>
        </w:rPr>
        <w:t>符合宪法、法律、法规、规章和上级政策规定，维护法制统一和社会公平正义；</w:t>
      </w:r>
    </w:p>
    <w:p>
      <w:pPr>
        <w:pStyle w:val="BodyText"/>
        <w:spacing w:before="1"/>
        <w:ind w:left="860"/>
      </w:pPr>
      <w:r>
        <w:rPr/>
        <w:t>（三）符合我县实际，具有必要性和可行性；</w:t>
      </w:r>
    </w:p>
    <w:p>
      <w:pPr>
        <w:pStyle w:val="BodyText"/>
        <w:spacing w:line="321" w:lineRule="auto" w:before="152"/>
        <w:ind w:left="221" w:right="266" w:firstLine="638"/>
      </w:pPr>
      <w:r>
        <w:rPr/>
        <w:t>（四）坚持精简、统一、效能相结合，实现职权与责任、权力与义务相统一；</w:t>
      </w:r>
    </w:p>
    <w:p>
      <w:pPr>
        <w:pStyle w:val="BodyText"/>
        <w:spacing w:line="321" w:lineRule="auto" w:before="1"/>
        <w:ind w:left="221" w:right="399" w:firstLine="638"/>
      </w:pPr>
      <w:r>
        <w:rPr>
          <w:w w:val="95"/>
        </w:rPr>
        <w:t>（五</w:t>
      </w:r>
      <w:r>
        <w:rPr>
          <w:spacing w:val="-34"/>
          <w:w w:val="95"/>
        </w:rPr>
        <w:t>）</w:t>
      </w:r>
      <w:r>
        <w:rPr>
          <w:spacing w:val="-9"/>
          <w:w w:val="95"/>
        </w:rPr>
        <w:t>充分发扬民主，深入调研论证，扩大公众参与，保 </w:t>
      </w:r>
      <w:r>
        <w:rPr>
          <w:spacing w:val="-9"/>
        </w:rPr>
        <w:t>护公民、法人和其他组织的合法权益；</w:t>
      </w:r>
    </w:p>
    <w:p>
      <w:pPr>
        <w:pStyle w:val="BodyText"/>
        <w:spacing w:line="321" w:lineRule="auto" w:before="1"/>
        <w:ind w:left="221" w:right="266" w:firstLine="638"/>
      </w:pPr>
      <w:r>
        <w:rPr/>
        <w:t>（六）符合规范性文件的体例、结构和文字表达等要求， 做到文体规范、结构严谨、条理清晰、文字简明、用词和标点</w:t>
      </w:r>
    </w:p>
    <w:p>
      <w:pPr>
        <w:spacing w:after="0" w:line="321" w:lineRule="auto"/>
        <w:sectPr>
          <w:pgSz w:w="11910" w:h="16840"/>
          <w:pgMar w:header="0" w:footer="1294" w:top="1580" w:bottom="1480" w:left="1480" w:right="1300"/>
        </w:sectPr>
      </w:pPr>
    </w:p>
    <w:p>
      <w:pPr>
        <w:pStyle w:val="BodyText"/>
        <w:spacing w:before="10"/>
        <w:rPr>
          <w:sz w:val="7"/>
        </w:rPr>
      </w:pPr>
    </w:p>
    <w:p>
      <w:pPr>
        <w:pStyle w:val="BodyText"/>
        <w:spacing w:before="41"/>
        <w:ind w:left="221"/>
      </w:pPr>
      <w:r>
        <w:rPr/>
        <w:t>符号准确，必要时应明确某些用语的特定含义。</w:t>
      </w:r>
    </w:p>
    <w:p>
      <w:pPr>
        <w:pStyle w:val="BodyText"/>
        <w:tabs>
          <w:tab w:pos="2141" w:val="left" w:leader="none"/>
        </w:tabs>
        <w:spacing w:before="153"/>
        <w:ind w:left="860"/>
      </w:pPr>
      <w:r>
        <w:rPr>
          <w:rFonts w:ascii="楷体" w:eastAsia="楷体" w:hint="eastAsia"/>
        </w:rPr>
        <w:t>第八条</w:t>
        <w:tab/>
      </w:r>
      <w:r>
        <w:rPr/>
        <w:t>有下列情形之一的，可以制定规范性文件：</w:t>
      </w:r>
    </w:p>
    <w:p>
      <w:pPr>
        <w:pStyle w:val="BodyText"/>
        <w:spacing w:line="321" w:lineRule="auto" w:before="152"/>
        <w:ind w:left="221" w:right="399" w:firstLine="638"/>
      </w:pPr>
      <w:r>
        <w:rPr/>
        <w:t>（一</w:t>
      </w:r>
      <w:r>
        <w:rPr>
          <w:spacing w:val="-46"/>
        </w:rPr>
        <w:t>）</w:t>
      </w:r>
      <w:r>
        <w:rPr>
          <w:spacing w:val="-10"/>
        </w:rPr>
        <w:t>法律、法规、规章等对有关行政管理工作尚未作出明确规定的；</w:t>
      </w:r>
    </w:p>
    <w:p>
      <w:pPr>
        <w:pStyle w:val="BodyText"/>
        <w:spacing w:line="321" w:lineRule="auto" w:before="1"/>
        <w:ind w:left="221" w:right="242" w:firstLine="638"/>
      </w:pPr>
      <w:r>
        <w:rPr/>
        <w:t>（二</w:t>
      </w:r>
      <w:r>
        <w:rPr>
          <w:spacing w:val="-99"/>
        </w:rPr>
        <w:t>）</w:t>
      </w:r>
      <w:r>
        <w:rPr>
          <w:spacing w:val="-15"/>
        </w:rPr>
        <w:t>法律、法规、规章等对有关行政管理工作虽有规定， 但规定不具体、不便操作的；</w:t>
      </w:r>
    </w:p>
    <w:p>
      <w:pPr>
        <w:pStyle w:val="BodyText"/>
        <w:spacing w:before="1"/>
        <w:ind w:left="860"/>
      </w:pPr>
      <w:r>
        <w:rPr/>
        <w:t>（三）法律、法规、规章等授权制定规范性文件的；</w:t>
      </w:r>
    </w:p>
    <w:p>
      <w:pPr>
        <w:pStyle w:val="BodyText"/>
        <w:spacing w:line="321" w:lineRule="auto" w:before="152"/>
        <w:ind w:left="221" w:right="399" w:firstLine="638"/>
      </w:pPr>
      <w:r>
        <w:rPr/>
        <w:t>（四</w:t>
      </w:r>
      <w:r>
        <w:rPr>
          <w:spacing w:val="-135"/>
        </w:rPr>
        <w:t>）</w:t>
      </w:r>
      <w:r>
        <w:rPr/>
        <w:t>县政府及县政府部门需要以规范性文件形式履行行政管理职能的。</w:t>
      </w:r>
    </w:p>
    <w:p>
      <w:pPr>
        <w:pStyle w:val="BodyText"/>
        <w:tabs>
          <w:tab w:pos="2141" w:val="left" w:leader="none"/>
        </w:tabs>
        <w:spacing w:line="321" w:lineRule="auto" w:before="1"/>
        <w:ind w:left="221" w:right="266" w:firstLine="638"/>
      </w:pPr>
      <w:r>
        <w:rPr>
          <w:rFonts w:ascii="楷体" w:eastAsia="楷体" w:hint="eastAsia"/>
        </w:rPr>
        <w:t>第九条</w:t>
        <w:tab/>
      </w:r>
      <w:r>
        <w:rPr/>
        <w:t>规范性文件的结构一般分为总则</w:t>
      </w:r>
      <w:r>
        <w:rPr>
          <w:spacing w:val="-67"/>
        </w:rPr>
        <w:t>、</w:t>
      </w:r>
      <w:r>
        <w:rPr/>
        <w:t>分则</w:t>
      </w:r>
      <w:r>
        <w:rPr>
          <w:spacing w:val="-67"/>
        </w:rPr>
        <w:t>、</w:t>
      </w:r>
      <w:r>
        <w:rPr/>
        <w:t>附则三部分，以章、条、款、项、目的形式表述。除内容复杂的外</w:t>
      </w:r>
      <w:r>
        <w:rPr>
          <w:spacing w:val="-11"/>
        </w:rPr>
        <w:t>， </w:t>
      </w:r>
      <w:r>
        <w:rPr/>
        <w:t>规范性文件可不分章、节。</w:t>
      </w:r>
    </w:p>
    <w:p>
      <w:pPr>
        <w:pStyle w:val="BodyText"/>
        <w:spacing w:before="13"/>
        <w:rPr>
          <w:sz w:val="42"/>
        </w:rPr>
      </w:pPr>
    </w:p>
    <w:p>
      <w:pPr>
        <w:pStyle w:val="BodyText"/>
        <w:tabs>
          <w:tab w:pos="1439" w:val="left" w:leader="none"/>
        </w:tabs>
        <w:ind w:right="177"/>
        <w:jc w:val="center"/>
        <w:rPr>
          <w:rFonts w:ascii="黑体" w:eastAsia="黑体" w:hint="eastAsia"/>
        </w:rPr>
      </w:pPr>
      <w:r>
        <w:rPr>
          <w:rFonts w:ascii="黑体" w:eastAsia="黑体" w:hint="eastAsia"/>
        </w:rPr>
        <w:t>第二章</w:t>
        <w:tab/>
        <w:t>计划编制</w:t>
      </w:r>
    </w:p>
    <w:p>
      <w:pPr>
        <w:pStyle w:val="BodyText"/>
        <w:rPr>
          <w:rFonts w:ascii="黑体"/>
        </w:rPr>
      </w:pPr>
    </w:p>
    <w:p>
      <w:pPr>
        <w:pStyle w:val="BodyText"/>
        <w:spacing w:before="9"/>
        <w:rPr>
          <w:rFonts w:ascii="黑体"/>
          <w:sz w:val="29"/>
        </w:rPr>
      </w:pPr>
    </w:p>
    <w:p>
      <w:pPr>
        <w:pStyle w:val="BodyText"/>
        <w:tabs>
          <w:tab w:pos="2141" w:val="left" w:leader="none"/>
        </w:tabs>
        <w:spacing w:line="321" w:lineRule="auto"/>
        <w:ind w:left="221" w:right="399" w:firstLine="638"/>
      </w:pPr>
      <w:r>
        <w:rPr>
          <w:rFonts w:ascii="楷体" w:eastAsia="楷体" w:hint="eastAsia"/>
        </w:rPr>
        <w:t>第十条</w:t>
        <w:tab/>
      </w:r>
      <w:r>
        <w:rPr/>
        <w:t>县政府各部门应于每年十二月份向县政府法制</w:t>
      </w:r>
      <w:r>
        <w:rPr>
          <w:w w:val="95"/>
        </w:rPr>
        <w:t>部门报送本部门下年度县政府规范性文件制定计划</w:t>
      </w:r>
      <w:r>
        <w:rPr>
          <w:spacing w:val="-135"/>
          <w:w w:val="95"/>
        </w:rPr>
        <w:t>。</w:t>
      </w:r>
      <w:r>
        <w:rPr>
          <w:w w:val="95"/>
        </w:rPr>
        <w:t>计划内容 包括县政府规范性文件的名称</w:t>
      </w:r>
      <w:r>
        <w:rPr>
          <w:spacing w:val="-46"/>
          <w:w w:val="95"/>
        </w:rPr>
        <w:t>、</w:t>
      </w:r>
      <w:r>
        <w:rPr>
          <w:w w:val="95"/>
        </w:rPr>
        <w:t>指导思想</w:t>
      </w:r>
      <w:r>
        <w:rPr>
          <w:spacing w:val="-46"/>
          <w:w w:val="95"/>
        </w:rPr>
        <w:t>、</w:t>
      </w:r>
      <w:r>
        <w:rPr>
          <w:w w:val="95"/>
        </w:rPr>
        <w:t>制定依据</w:t>
      </w:r>
      <w:r>
        <w:rPr>
          <w:spacing w:val="-43"/>
          <w:w w:val="95"/>
        </w:rPr>
        <w:t>、</w:t>
      </w:r>
      <w:r>
        <w:rPr>
          <w:w w:val="95"/>
        </w:rPr>
        <w:t>主要内 </w:t>
      </w:r>
      <w:r>
        <w:rPr/>
        <w:t>容、发布机关、送审时间等。</w:t>
      </w:r>
    </w:p>
    <w:p>
      <w:pPr>
        <w:pStyle w:val="BodyText"/>
        <w:spacing w:line="321" w:lineRule="auto" w:before="1"/>
        <w:ind w:left="221" w:right="399" w:firstLine="638"/>
        <w:jc w:val="both"/>
      </w:pPr>
      <w:r>
        <w:rPr>
          <w:rFonts w:ascii="楷体" w:eastAsia="楷体" w:hint="eastAsia"/>
          <w:spacing w:val="30"/>
        </w:rPr>
        <w:t>第十一条 </w:t>
      </w:r>
      <w:r>
        <w:rPr>
          <w:spacing w:val="-8"/>
        </w:rPr>
        <w:t>县政府法制部门对报送计划进行汇总，根据国</w:t>
      </w:r>
      <w:r>
        <w:rPr>
          <w:spacing w:val="-14"/>
          <w:w w:val="95"/>
        </w:rPr>
        <w:t>家和省、市立法计划，结合我县实际，统筹安排编制年度县政 </w:t>
      </w:r>
      <w:r>
        <w:rPr>
          <w:spacing w:val="-14"/>
        </w:rPr>
        <w:t>府规范性文件制定计划，经县政府审定后由县政府办公室下</w:t>
      </w:r>
    </w:p>
    <w:p>
      <w:pPr>
        <w:spacing w:after="0" w:line="321" w:lineRule="auto"/>
        <w:jc w:val="both"/>
        <w:sectPr>
          <w:pgSz w:w="11910" w:h="16840"/>
          <w:pgMar w:header="0" w:footer="1294" w:top="1580" w:bottom="1480" w:left="1480" w:right="1300"/>
        </w:sectPr>
      </w:pPr>
    </w:p>
    <w:p>
      <w:pPr>
        <w:pStyle w:val="BodyText"/>
        <w:spacing w:before="10"/>
        <w:rPr>
          <w:sz w:val="7"/>
        </w:rPr>
      </w:pPr>
    </w:p>
    <w:p>
      <w:pPr>
        <w:pStyle w:val="BodyText"/>
        <w:spacing w:before="41"/>
        <w:ind w:left="221"/>
      </w:pPr>
      <w:r>
        <w:rPr>
          <w:spacing w:val="-19"/>
        </w:rPr>
        <w:t>发，有关部门应认真组织实施，县政府法制部门负责监督执行。</w:t>
      </w:r>
    </w:p>
    <w:p>
      <w:pPr>
        <w:pStyle w:val="BodyText"/>
        <w:tabs>
          <w:tab w:pos="2460" w:val="left" w:leader="none"/>
        </w:tabs>
        <w:spacing w:line="321" w:lineRule="auto" w:before="153"/>
        <w:ind w:left="221" w:right="584" w:firstLine="638"/>
      </w:pPr>
      <w:r>
        <w:rPr>
          <w:rFonts w:ascii="楷体" w:eastAsia="楷体" w:hint="eastAsia"/>
        </w:rPr>
        <w:t>第十二条</w:t>
        <w:tab/>
      </w:r>
      <w:r>
        <w:rPr/>
        <w:t>未列入年度县政府规范性文件制定计划的</w:t>
      </w:r>
      <w:r>
        <w:rPr>
          <w:spacing w:val="-12"/>
        </w:rPr>
        <w:t>规</w:t>
      </w:r>
      <w:r>
        <w:rPr/>
        <w:t>范性文件草案，原则上县政府法制部门不予受理审查。</w:t>
      </w:r>
    </w:p>
    <w:p>
      <w:pPr>
        <w:pStyle w:val="BodyText"/>
        <w:tabs>
          <w:tab w:pos="2460" w:val="left" w:leader="none"/>
        </w:tabs>
        <w:spacing w:line="321" w:lineRule="auto"/>
        <w:ind w:left="221" w:right="584" w:firstLine="638"/>
      </w:pPr>
      <w:r>
        <w:rPr>
          <w:rFonts w:ascii="楷体" w:eastAsia="楷体" w:hint="eastAsia"/>
        </w:rPr>
        <w:t>第十三条</w:t>
        <w:tab/>
      </w:r>
      <w:r>
        <w:rPr/>
        <w:t>县政府部门应根据本部门工作实际做好部</w:t>
      </w:r>
      <w:r>
        <w:rPr>
          <w:spacing w:val="-12"/>
        </w:rPr>
        <w:t>门</w:t>
      </w:r>
      <w:r>
        <w:rPr/>
        <w:t>规范性文件制定计划的编制工作。</w:t>
      </w:r>
    </w:p>
    <w:p>
      <w:pPr>
        <w:pStyle w:val="BodyText"/>
        <w:rPr>
          <w:sz w:val="43"/>
        </w:rPr>
      </w:pPr>
    </w:p>
    <w:p>
      <w:pPr>
        <w:pStyle w:val="BodyText"/>
        <w:tabs>
          <w:tab w:pos="1279" w:val="left" w:leader="none"/>
        </w:tabs>
        <w:ind w:right="180"/>
        <w:jc w:val="center"/>
        <w:rPr>
          <w:rFonts w:ascii="黑体" w:eastAsia="黑体" w:hint="eastAsia"/>
        </w:rPr>
      </w:pPr>
      <w:r>
        <w:rPr>
          <w:rFonts w:ascii="黑体" w:eastAsia="黑体" w:hint="eastAsia"/>
        </w:rPr>
        <w:t>第三章</w:t>
        <w:tab/>
        <w:t>起草送审</w:t>
      </w:r>
    </w:p>
    <w:p>
      <w:pPr>
        <w:pStyle w:val="BodyText"/>
        <w:rPr>
          <w:rFonts w:ascii="黑体"/>
        </w:rPr>
      </w:pPr>
    </w:p>
    <w:p>
      <w:pPr>
        <w:pStyle w:val="BodyText"/>
        <w:spacing w:before="8"/>
        <w:rPr>
          <w:rFonts w:ascii="黑体"/>
          <w:sz w:val="29"/>
        </w:rPr>
      </w:pPr>
    </w:p>
    <w:p>
      <w:pPr>
        <w:pStyle w:val="BodyText"/>
        <w:spacing w:line="321" w:lineRule="auto"/>
        <w:ind w:left="221" w:right="399" w:firstLine="638"/>
        <w:jc w:val="both"/>
      </w:pPr>
      <w:r>
        <w:rPr>
          <w:rFonts w:ascii="楷体" w:eastAsia="楷体" w:hint="eastAsia"/>
          <w:spacing w:val="30"/>
        </w:rPr>
        <w:t>第十四条 </w:t>
      </w:r>
      <w:r>
        <w:rPr>
          <w:spacing w:val="-8"/>
        </w:rPr>
        <w:t>县政府规范性文件由县政府部门负责起草，县</w:t>
      </w:r>
      <w:r>
        <w:rPr>
          <w:spacing w:val="-15"/>
          <w:w w:val="95"/>
        </w:rPr>
        <w:t>政府法制部门可给予指导。重要的县政府规范性文件由县政府 </w:t>
      </w:r>
      <w:r>
        <w:rPr>
          <w:spacing w:val="-20"/>
          <w:w w:val="95"/>
        </w:rPr>
        <w:t>法制部门直接起草或组织有关部门起草，可邀请或委托有关组 </w:t>
      </w:r>
      <w:r>
        <w:rPr>
          <w:spacing w:val="-20"/>
        </w:rPr>
        <w:t>织、专家起草。</w:t>
      </w:r>
    </w:p>
    <w:p>
      <w:pPr>
        <w:pStyle w:val="BodyText"/>
        <w:tabs>
          <w:tab w:pos="2460" w:val="left" w:leader="none"/>
        </w:tabs>
        <w:spacing w:line="321" w:lineRule="auto" w:before="2"/>
        <w:ind w:left="221" w:right="399" w:firstLine="638"/>
      </w:pPr>
      <w:r>
        <w:rPr>
          <w:rFonts w:ascii="楷体" w:eastAsia="楷体" w:hint="eastAsia"/>
        </w:rPr>
        <w:t>第十五条</w:t>
        <w:tab/>
      </w:r>
      <w:r>
        <w:rPr/>
        <w:t>起草县政府规范性文件</w:t>
      </w:r>
      <w:r>
        <w:rPr>
          <w:spacing w:val="-135"/>
        </w:rPr>
        <w:t>，</w:t>
      </w:r>
      <w:r>
        <w:rPr/>
        <w:t>应对制定规范性文</w:t>
      </w:r>
      <w:r>
        <w:rPr>
          <w:spacing w:val="-11"/>
        </w:rPr>
        <w:t>件</w:t>
      </w:r>
      <w:r>
        <w:rPr/>
        <w:t>的必要性和可行性进行研究，对规范性文件拟设定的主要政策、措施或制度的合法性、合理性等内容进行调研论证。</w:t>
      </w:r>
    </w:p>
    <w:p>
      <w:pPr>
        <w:pStyle w:val="BodyText"/>
        <w:tabs>
          <w:tab w:pos="2460" w:val="left" w:leader="none"/>
        </w:tabs>
        <w:spacing w:line="321" w:lineRule="auto" w:before="1"/>
        <w:ind w:left="221" w:right="399" w:firstLine="638"/>
      </w:pPr>
      <w:r>
        <w:rPr>
          <w:rFonts w:ascii="楷体" w:eastAsia="楷体" w:hint="eastAsia"/>
        </w:rPr>
        <w:t>第十六条</w:t>
        <w:tab/>
      </w:r>
      <w:r>
        <w:rPr/>
        <w:t>起草县政府规范性文件，应广泛听取有关部</w:t>
      </w:r>
      <w:r>
        <w:rPr>
          <w:w w:val="95"/>
        </w:rPr>
        <w:t>门</w:t>
      </w:r>
      <w:r>
        <w:rPr>
          <w:spacing w:val="-46"/>
          <w:w w:val="95"/>
        </w:rPr>
        <w:t>、</w:t>
      </w:r>
      <w:r>
        <w:rPr>
          <w:w w:val="95"/>
        </w:rPr>
        <w:t>相关组织</w:t>
      </w:r>
      <w:r>
        <w:rPr>
          <w:spacing w:val="-46"/>
          <w:w w:val="95"/>
        </w:rPr>
        <w:t>、</w:t>
      </w:r>
      <w:r>
        <w:rPr>
          <w:w w:val="95"/>
        </w:rPr>
        <w:t>社会公众和专家的意见</w:t>
      </w:r>
      <w:r>
        <w:rPr>
          <w:spacing w:val="-43"/>
          <w:w w:val="95"/>
        </w:rPr>
        <w:t>。</w:t>
      </w:r>
      <w:r>
        <w:rPr>
          <w:w w:val="95"/>
        </w:rPr>
        <w:t>听取意见可采取书面 征求意见</w:t>
      </w:r>
      <w:r>
        <w:rPr>
          <w:spacing w:val="-46"/>
          <w:w w:val="95"/>
        </w:rPr>
        <w:t>、</w:t>
      </w:r>
      <w:r>
        <w:rPr>
          <w:w w:val="95"/>
        </w:rPr>
        <w:t>召开座谈会</w:t>
      </w:r>
      <w:r>
        <w:rPr>
          <w:spacing w:val="-46"/>
          <w:w w:val="95"/>
        </w:rPr>
        <w:t>、</w:t>
      </w:r>
      <w:r>
        <w:rPr>
          <w:w w:val="95"/>
        </w:rPr>
        <w:t>论证会</w:t>
      </w:r>
      <w:r>
        <w:rPr>
          <w:spacing w:val="-43"/>
          <w:w w:val="95"/>
        </w:rPr>
        <w:t>、</w:t>
      </w:r>
      <w:r>
        <w:rPr>
          <w:w w:val="95"/>
        </w:rPr>
        <w:t>听证会和公开征询社会公众 </w:t>
      </w:r>
      <w:r>
        <w:rPr/>
        <w:t>意见等方式</w:t>
      </w:r>
      <w:r>
        <w:rPr>
          <w:spacing w:val="-43"/>
        </w:rPr>
        <w:t>。</w:t>
      </w:r>
      <w:r>
        <w:rPr/>
        <w:t>涉及重大公共利益</w:t>
      </w:r>
      <w:r>
        <w:rPr>
          <w:spacing w:val="-43"/>
        </w:rPr>
        <w:t>、</w:t>
      </w:r>
      <w:r>
        <w:rPr/>
        <w:t>公众有重大分歧</w:t>
      </w:r>
      <w:r>
        <w:rPr>
          <w:spacing w:val="-43"/>
        </w:rPr>
        <w:t>、</w:t>
      </w:r>
      <w:r>
        <w:rPr/>
        <w:t>可能影</w:t>
      </w:r>
      <w:r>
        <w:rPr>
          <w:spacing w:val="-11"/>
        </w:rPr>
        <w:t>响</w:t>
      </w:r>
      <w:r>
        <w:rPr>
          <w:w w:val="95"/>
        </w:rPr>
        <w:t>社会稳定或法律</w:t>
      </w:r>
      <w:r>
        <w:rPr>
          <w:spacing w:val="-46"/>
          <w:w w:val="95"/>
        </w:rPr>
        <w:t>、</w:t>
      </w:r>
      <w:r>
        <w:rPr>
          <w:w w:val="95"/>
        </w:rPr>
        <w:t>法规</w:t>
      </w:r>
      <w:r>
        <w:rPr>
          <w:spacing w:val="-46"/>
          <w:w w:val="95"/>
        </w:rPr>
        <w:t>、</w:t>
      </w:r>
      <w:r>
        <w:rPr>
          <w:w w:val="95"/>
        </w:rPr>
        <w:t>规章规定应当听证的</w:t>
      </w:r>
      <w:r>
        <w:rPr>
          <w:spacing w:val="-43"/>
          <w:w w:val="95"/>
        </w:rPr>
        <w:t>，</w:t>
      </w:r>
      <w:r>
        <w:rPr>
          <w:w w:val="95"/>
        </w:rPr>
        <w:t>起草部门应组 </w:t>
      </w:r>
      <w:r>
        <w:rPr/>
        <w:t>织听证。</w:t>
      </w:r>
    </w:p>
    <w:p>
      <w:pPr>
        <w:pStyle w:val="BodyText"/>
        <w:tabs>
          <w:tab w:pos="2460" w:val="left" w:leader="none"/>
        </w:tabs>
        <w:spacing w:before="2"/>
        <w:ind w:left="860"/>
      </w:pPr>
      <w:r>
        <w:rPr>
          <w:rFonts w:ascii="楷体" w:eastAsia="楷体" w:hint="eastAsia"/>
        </w:rPr>
        <w:t>第十七条</w:t>
        <w:tab/>
      </w:r>
      <w:r>
        <w:rPr/>
        <w:t>县政府规范性文件内容涉及乡</w:t>
      </w:r>
      <w:r>
        <w:rPr>
          <w:spacing w:val="-67"/>
        </w:rPr>
        <w:t>镇</w:t>
      </w:r>
      <w:r>
        <w:rPr/>
        <w:t>（街道</w:t>
      </w:r>
      <w:r>
        <w:rPr>
          <w:spacing w:val="-67"/>
        </w:rPr>
        <w:t>、</w:t>
      </w:r>
      <w:r>
        <w:rPr/>
        <w:t>开发</w:t>
      </w:r>
    </w:p>
    <w:p>
      <w:pPr>
        <w:spacing w:after="0"/>
        <w:sectPr>
          <w:pgSz w:w="11910" w:h="16840"/>
          <w:pgMar w:header="0" w:footer="1294" w:top="1580" w:bottom="1480" w:left="1480" w:right="1300"/>
        </w:sectPr>
      </w:pPr>
    </w:p>
    <w:p>
      <w:pPr>
        <w:pStyle w:val="BodyText"/>
        <w:spacing w:before="10"/>
        <w:rPr>
          <w:sz w:val="7"/>
        </w:rPr>
      </w:pPr>
    </w:p>
    <w:p>
      <w:pPr>
        <w:pStyle w:val="BodyText"/>
        <w:spacing w:line="321" w:lineRule="auto" w:before="41"/>
        <w:ind w:left="221" w:right="399"/>
      </w:pPr>
      <w:r>
        <w:rPr>
          <w:spacing w:val="-12"/>
          <w:w w:val="95"/>
        </w:rPr>
        <w:t>区、景区</w:t>
      </w:r>
      <w:r>
        <w:rPr>
          <w:spacing w:val="-46"/>
          <w:w w:val="95"/>
        </w:rPr>
        <w:t>）</w:t>
      </w:r>
      <w:r>
        <w:rPr>
          <w:spacing w:val="-5"/>
          <w:w w:val="95"/>
        </w:rPr>
        <w:t>或县政府有关部门的，起草部门应主动与有关单位 </w:t>
      </w:r>
      <w:r>
        <w:rPr>
          <w:spacing w:val="-5"/>
        </w:rPr>
        <w:t>沟通协商，征求书面意见或会签。</w:t>
      </w:r>
    </w:p>
    <w:p>
      <w:pPr>
        <w:pStyle w:val="BodyText"/>
        <w:tabs>
          <w:tab w:pos="2460" w:val="left" w:leader="none"/>
        </w:tabs>
        <w:spacing w:line="321" w:lineRule="auto" w:before="1"/>
        <w:ind w:left="221" w:right="399" w:firstLine="638"/>
      </w:pPr>
      <w:r>
        <w:rPr>
          <w:rFonts w:ascii="楷体" w:eastAsia="楷体" w:hint="eastAsia"/>
        </w:rPr>
        <w:t>第十八条</w:t>
        <w:tab/>
      </w:r>
      <w:r>
        <w:rPr/>
        <w:t>县政府规范性文件起草完毕后</w:t>
      </w:r>
      <w:r>
        <w:rPr>
          <w:spacing w:val="-135"/>
        </w:rPr>
        <w:t>，</w:t>
      </w:r>
      <w:r>
        <w:rPr/>
        <w:t>起草部门应</w:t>
      </w:r>
      <w:r>
        <w:rPr>
          <w:spacing w:val="-11"/>
        </w:rPr>
        <w:t>将</w:t>
      </w:r>
      <w:r>
        <w:rPr/>
        <w:t>规范性文件草案和有关材料及时报送县政府法制部门审查。</w:t>
      </w:r>
    </w:p>
    <w:p>
      <w:pPr>
        <w:pStyle w:val="BodyText"/>
        <w:tabs>
          <w:tab w:pos="2460" w:val="left" w:leader="none"/>
        </w:tabs>
        <w:spacing w:before="1"/>
        <w:ind w:left="860"/>
      </w:pPr>
      <w:r>
        <w:rPr>
          <w:rFonts w:ascii="楷体" w:eastAsia="楷体" w:hint="eastAsia"/>
        </w:rPr>
        <w:t>第十九条</w:t>
        <w:tab/>
      </w:r>
      <w:r>
        <w:rPr/>
        <w:t>县政府规范性文件提请送审时</w:t>
      </w:r>
      <w:r>
        <w:rPr>
          <w:spacing w:val="-135"/>
        </w:rPr>
        <w:t>，</w:t>
      </w:r>
      <w:r>
        <w:rPr/>
        <w:t>应提交以下材</w:t>
      </w:r>
    </w:p>
    <w:p>
      <w:pPr>
        <w:pStyle w:val="BodyText"/>
        <w:spacing w:before="13"/>
        <w:rPr>
          <w:sz w:val="7"/>
        </w:rPr>
      </w:pPr>
    </w:p>
    <w:p>
      <w:pPr>
        <w:pStyle w:val="BodyText"/>
        <w:spacing w:before="41"/>
        <w:ind w:left="221"/>
      </w:pPr>
      <w:r>
        <w:rPr/>
        <w:t>料：</w:t>
      </w:r>
    </w:p>
    <w:p>
      <w:pPr>
        <w:pStyle w:val="BodyText"/>
        <w:spacing w:before="153"/>
        <w:ind w:left="860"/>
      </w:pPr>
      <w:r>
        <w:rPr/>
        <w:t>（一）制定县政府规范性文件请示 1 份；</w:t>
      </w:r>
    </w:p>
    <w:p>
      <w:pPr>
        <w:pStyle w:val="BodyText"/>
        <w:spacing w:before="152"/>
        <w:ind w:left="860"/>
      </w:pPr>
      <w:r>
        <w:rPr/>
        <w:t>（二）县政府规范性文件草案 2 份及电子文本；</w:t>
      </w:r>
    </w:p>
    <w:p>
      <w:pPr>
        <w:pStyle w:val="BodyText"/>
        <w:spacing w:before="153"/>
        <w:ind w:left="860"/>
      </w:pPr>
      <w:r>
        <w:rPr/>
        <w:t>（三</w:t>
      </w:r>
      <w:r>
        <w:rPr>
          <w:spacing w:val="-67"/>
        </w:rPr>
        <w:t>）</w:t>
      </w:r>
      <w:r>
        <w:rPr>
          <w:spacing w:val="-7"/>
        </w:rPr>
        <w:t>加盖部门公章的起草说明</w:t>
      </w:r>
      <w:r>
        <w:rPr/>
        <w:t>（包括制定规范性文件的</w:t>
      </w:r>
    </w:p>
    <w:p>
      <w:pPr>
        <w:pStyle w:val="BodyText"/>
        <w:spacing w:before="13"/>
        <w:rPr>
          <w:sz w:val="7"/>
        </w:rPr>
      </w:pPr>
    </w:p>
    <w:p>
      <w:pPr>
        <w:pStyle w:val="BodyText"/>
        <w:spacing w:line="321" w:lineRule="auto" w:before="41"/>
        <w:ind w:left="221" w:right="401"/>
      </w:pPr>
      <w:r>
        <w:rPr>
          <w:spacing w:val="-12"/>
        </w:rPr>
        <w:t>必要性、可行性、法律依据、起草过程、协调情况、对主要内容的说明等）10</w:t>
      </w:r>
      <w:r>
        <w:rPr>
          <w:spacing w:val="-27"/>
        </w:rPr>
        <w:t> 份；</w:t>
      </w:r>
    </w:p>
    <w:p>
      <w:pPr>
        <w:pStyle w:val="BodyText"/>
        <w:spacing w:line="321" w:lineRule="auto" w:before="1"/>
        <w:ind w:left="221" w:right="242" w:firstLine="638"/>
      </w:pPr>
      <w:r>
        <w:rPr>
          <w:w w:val="95"/>
        </w:rPr>
        <w:t>（四</w:t>
      </w:r>
      <w:r>
        <w:rPr>
          <w:spacing w:val="-99"/>
          <w:w w:val="95"/>
        </w:rPr>
        <w:t>）</w:t>
      </w:r>
      <w:r>
        <w:rPr>
          <w:spacing w:val="-11"/>
          <w:w w:val="95"/>
        </w:rPr>
        <w:t>起草县政府规范性文件所依据的法律、法规、规章、 </w:t>
      </w:r>
      <w:r>
        <w:rPr>
          <w:spacing w:val="-16"/>
        </w:rPr>
        <w:t>上级政策文件及参照的其他资料 </w:t>
      </w:r>
      <w:r>
        <w:rPr/>
        <w:t>1</w:t>
      </w:r>
      <w:r>
        <w:rPr>
          <w:spacing w:val="-28"/>
        </w:rPr>
        <w:t> 份；</w:t>
      </w:r>
    </w:p>
    <w:p>
      <w:pPr>
        <w:pStyle w:val="BodyText"/>
        <w:spacing w:before="1"/>
        <w:ind w:left="860"/>
      </w:pPr>
      <w:r>
        <w:rPr/>
        <w:t>（五）起草部门法制机构合法性审查报告 1 份；</w:t>
      </w:r>
    </w:p>
    <w:p>
      <w:pPr>
        <w:pStyle w:val="BodyText"/>
        <w:spacing w:before="152"/>
        <w:ind w:left="860"/>
      </w:pPr>
      <w:r>
        <w:rPr/>
        <w:t>（六）征求意见或会签材料 1 份；</w:t>
      </w:r>
    </w:p>
    <w:p>
      <w:pPr>
        <w:pStyle w:val="BodyText"/>
        <w:spacing w:before="153"/>
        <w:ind w:left="860"/>
      </w:pPr>
      <w:r>
        <w:rPr/>
        <w:t>（七）需报送的其他材料等。</w:t>
      </w:r>
    </w:p>
    <w:p>
      <w:pPr>
        <w:pStyle w:val="BodyText"/>
        <w:tabs>
          <w:tab w:pos="2460" w:val="left" w:leader="none"/>
        </w:tabs>
        <w:spacing w:line="321" w:lineRule="auto" w:before="152"/>
        <w:ind w:left="221" w:right="399" w:firstLine="638"/>
      </w:pPr>
      <w:r>
        <w:rPr>
          <w:rFonts w:ascii="楷体" w:eastAsia="楷体" w:hint="eastAsia"/>
        </w:rPr>
        <w:t>第二十条</w:t>
        <w:tab/>
      </w:r>
      <w:r>
        <w:rPr/>
        <w:t>县政府部门规范性文件由其内设机构或其他</w:t>
      </w:r>
      <w:r>
        <w:rPr>
          <w:w w:val="95"/>
        </w:rPr>
        <w:t>机构起草</w:t>
      </w:r>
      <w:r>
        <w:rPr>
          <w:spacing w:val="-135"/>
          <w:w w:val="95"/>
        </w:rPr>
        <w:t>。</w:t>
      </w:r>
      <w:r>
        <w:rPr>
          <w:w w:val="95"/>
        </w:rPr>
        <w:t>县政府部门制定本部门规范性文件应按照规定做好 </w:t>
      </w:r>
      <w:r>
        <w:rPr/>
        <w:t>文件起草</w:t>
      </w:r>
      <w:r>
        <w:rPr>
          <w:spacing w:val="-46"/>
        </w:rPr>
        <w:t>、</w:t>
      </w:r>
      <w:r>
        <w:rPr/>
        <w:t>调研</w:t>
      </w:r>
      <w:r>
        <w:rPr>
          <w:spacing w:val="-46"/>
        </w:rPr>
        <w:t>、</w:t>
      </w:r>
      <w:r>
        <w:rPr/>
        <w:t>征求意见等工作</w:t>
      </w:r>
      <w:r>
        <w:rPr>
          <w:spacing w:val="-46"/>
        </w:rPr>
        <w:t>，</w:t>
      </w:r>
      <w:r>
        <w:rPr/>
        <w:t>并报本部门法制机构进行合法性审查。</w:t>
      </w:r>
    </w:p>
    <w:p>
      <w:pPr>
        <w:pStyle w:val="BodyText"/>
        <w:rPr>
          <w:sz w:val="43"/>
        </w:rPr>
      </w:pPr>
    </w:p>
    <w:p>
      <w:pPr>
        <w:pStyle w:val="BodyText"/>
        <w:tabs>
          <w:tab w:pos="1281" w:val="left" w:leader="none"/>
        </w:tabs>
        <w:ind w:right="180"/>
        <w:jc w:val="center"/>
        <w:rPr>
          <w:rFonts w:ascii="黑体" w:eastAsia="黑体" w:hint="eastAsia"/>
        </w:rPr>
      </w:pPr>
      <w:r>
        <w:rPr>
          <w:rFonts w:ascii="黑体" w:eastAsia="黑体" w:hint="eastAsia"/>
        </w:rPr>
        <w:t>第四章</w:t>
        <w:tab/>
        <w:t>合法性审查</w:t>
      </w:r>
    </w:p>
    <w:p>
      <w:pPr>
        <w:spacing w:after="0"/>
        <w:jc w:val="center"/>
        <w:rPr>
          <w:rFonts w:ascii="黑体" w:eastAsia="黑体" w:hint="eastAsia"/>
        </w:rPr>
        <w:sectPr>
          <w:pgSz w:w="11910" w:h="16840"/>
          <w:pgMar w:header="0" w:footer="1294" w:top="1580" w:bottom="1480" w:left="1480" w:right="1300"/>
        </w:sectPr>
      </w:pPr>
    </w:p>
    <w:p>
      <w:pPr>
        <w:pStyle w:val="BodyText"/>
        <w:rPr>
          <w:rFonts w:ascii="黑体"/>
          <w:sz w:val="20"/>
        </w:rPr>
      </w:pPr>
    </w:p>
    <w:p>
      <w:pPr>
        <w:pStyle w:val="BodyText"/>
        <w:rPr>
          <w:rFonts w:ascii="黑体"/>
          <w:sz w:val="20"/>
        </w:rPr>
      </w:pPr>
    </w:p>
    <w:p>
      <w:pPr>
        <w:pStyle w:val="BodyText"/>
        <w:spacing w:before="3"/>
        <w:rPr>
          <w:rFonts w:ascii="黑体"/>
          <w:sz w:val="14"/>
        </w:rPr>
      </w:pPr>
    </w:p>
    <w:p>
      <w:pPr>
        <w:pStyle w:val="BodyText"/>
        <w:tabs>
          <w:tab w:pos="2779" w:val="left" w:leader="none"/>
        </w:tabs>
        <w:spacing w:line="321" w:lineRule="auto" w:before="54"/>
        <w:ind w:left="221" w:right="584" w:firstLine="638"/>
      </w:pPr>
      <w:r>
        <w:rPr>
          <w:rFonts w:ascii="楷体" w:eastAsia="楷体" w:hint="eastAsia"/>
        </w:rPr>
        <w:t>第二十一条</w:t>
        <w:tab/>
      </w:r>
      <w:r>
        <w:rPr/>
        <w:t>县政府法制部门对报送审查的县政府规</w:t>
      </w:r>
      <w:r>
        <w:rPr>
          <w:spacing w:val="-12"/>
        </w:rPr>
        <w:t>范</w:t>
      </w:r>
      <w:r>
        <w:rPr/>
        <w:t>性文件草案，应就下列事项进行审查：</w:t>
      </w:r>
    </w:p>
    <w:p>
      <w:pPr>
        <w:pStyle w:val="BodyText"/>
        <w:spacing w:before="1"/>
        <w:ind w:left="860"/>
      </w:pPr>
      <w:r>
        <w:rPr>
          <w:w w:val="95"/>
        </w:rPr>
        <w:t>（一）制定主体是否合法；</w:t>
      </w:r>
    </w:p>
    <w:p>
      <w:pPr>
        <w:pStyle w:val="BodyText"/>
        <w:spacing w:before="152"/>
        <w:ind w:left="860"/>
      </w:pPr>
      <w:r>
        <w:rPr>
          <w:w w:val="95"/>
        </w:rPr>
        <w:t>（二）是否超越法定职权；</w:t>
      </w:r>
    </w:p>
    <w:p>
      <w:pPr>
        <w:pStyle w:val="BodyText"/>
        <w:spacing w:before="153"/>
        <w:ind w:left="860"/>
      </w:pPr>
      <w:r>
        <w:rPr>
          <w:w w:val="95"/>
        </w:rPr>
        <w:t>（三）是否违反法定程序；</w:t>
      </w:r>
    </w:p>
    <w:p>
      <w:pPr>
        <w:pStyle w:val="BodyText"/>
        <w:spacing w:before="152"/>
        <w:ind w:left="860"/>
      </w:pPr>
      <w:r>
        <w:rPr/>
        <w:t>（四）是否与法律、法规、规章或上级政策文件相抵触；</w:t>
      </w:r>
    </w:p>
    <w:p>
      <w:pPr>
        <w:pStyle w:val="BodyText"/>
        <w:spacing w:line="321" w:lineRule="auto" w:before="153"/>
        <w:ind w:left="221" w:right="401" w:firstLine="638"/>
      </w:pPr>
      <w:r>
        <w:rPr/>
        <w:t>（五</w:t>
      </w:r>
      <w:r>
        <w:rPr>
          <w:spacing w:val="-46"/>
        </w:rPr>
        <w:t>）</w:t>
      </w:r>
      <w:r>
        <w:rPr>
          <w:spacing w:val="-9"/>
        </w:rPr>
        <w:t>是否设定行政许可、行政处罚、行政强制或违法规定行政收费事项及其他不得由规范性文件设定的事项；</w:t>
      </w:r>
    </w:p>
    <w:p>
      <w:pPr>
        <w:pStyle w:val="BodyText"/>
        <w:spacing w:line="321" w:lineRule="auto" w:before="1"/>
        <w:ind w:left="221" w:right="399" w:firstLine="638"/>
      </w:pPr>
      <w:r>
        <w:rPr/>
        <w:t>（六</w:t>
      </w:r>
      <w:r>
        <w:rPr>
          <w:spacing w:val="-67"/>
        </w:rPr>
        <w:t>）</w:t>
      </w:r>
      <w:r>
        <w:rPr>
          <w:spacing w:val="-8"/>
        </w:rPr>
        <w:t>是否违法减损公民、法人和其他组织合法权益或增加其义务；</w:t>
      </w:r>
    </w:p>
    <w:p>
      <w:pPr>
        <w:pStyle w:val="BodyText"/>
        <w:spacing w:line="321" w:lineRule="auto"/>
        <w:ind w:left="221" w:right="266" w:firstLine="638"/>
      </w:pPr>
      <w:r>
        <w:rPr/>
        <w:t>（七）内容是否符合我县实际，制度设计是否科学合理， 是否具有可操作性；</w:t>
      </w:r>
    </w:p>
    <w:p>
      <w:pPr>
        <w:pStyle w:val="BodyText"/>
        <w:spacing w:before="1"/>
        <w:ind w:left="860"/>
      </w:pPr>
      <w:r>
        <w:rPr/>
        <w:t>（八）其他需审查的事项。</w:t>
      </w:r>
    </w:p>
    <w:p>
      <w:pPr>
        <w:pStyle w:val="BodyText"/>
        <w:spacing w:line="321" w:lineRule="auto" w:before="153"/>
        <w:ind w:left="221" w:right="399" w:firstLine="638"/>
        <w:jc w:val="both"/>
      </w:pPr>
      <w:r>
        <w:rPr>
          <w:rFonts w:ascii="楷体" w:eastAsia="楷体" w:hint="eastAsia"/>
          <w:spacing w:val="24"/>
        </w:rPr>
        <w:t>第二十二条 </w:t>
      </w:r>
      <w:r>
        <w:rPr>
          <w:spacing w:val="-10"/>
        </w:rPr>
        <w:t>规范性文件涉及市场准入、产业发展、招商</w:t>
      </w:r>
      <w:r>
        <w:rPr>
          <w:spacing w:val="-14"/>
          <w:w w:val="95"/>
        </w:rPr>
        <w:t>引资、招标投标、政府采购、资质标准、经营行为规范等市场 </w:t>
      </w:r>
      <w:r>
        <w:rPr>
          <w:spacing w:val="-17"/>
          <w:w w:val="95"/>
        </w:rPr>
        <w:t>主体经济活动的，起草部门应按规定进行公平竞争审查，并形 </w:t>
      </w:r>
      <w:r>
        <w:rPr>
          <w:spacing w:val="-17"/>
        </w:rPr>
        <w:t>成公平竞争审查结论书。</w:t>
      </w:r>
    </w:p>
    <w:p>
      <w:pPr>
        <w:pStyle w:val="BodyText"/>
        <w:spacing w:line="321" w:lineRule="auto" w:before="1"/>
        <w:ind w:left="221" w:right="266" w:firstLine="638"/>
      </w:pPr>
      <w:r>
        <w:rPr/>
        <w:t>制定有关或者影响货物贸易、服务贸易以及与贸易有关的知识产权的规范性文件的，起草部门应按规定进行合规审查， 并形成合规审查意见书。合规，是指规范性文件应符合《世界贸易组织协定》及其附件和后续协定、《中华人民共和国加入</w:t>
      </w:r>
    </w:p>
    <w:p>
      <w:pPr>
        <w:spacing w:after="0" w:line="321" w:lineRule="auto"/>
        <w:sectPr>
          <w:footerReference w:type="default" r:id="rId17"/>
          <w:pgSz w:w="11910" w:h="16840"/>
          <w:pgMar w:footer="1294" w:header="0" w:top="1580" w:bottom="1480" w:left="1480" w:right="1300"/>
          <w:pgNumType w:start="10"/>
        </w:sectPr>
      </w:pPr>
    </w:p>
    <w:p>
      <w:pPr>
        <w:pStyle w:val="BodyText"/>
        <w:spacing w:before="10"/>
        <w:rPr>
          <w:sz w:val="7"/>
        </w:rPr>
      </w:pPr>
    </w:p>
    <w:p>
      <w:pPr>
        <w:pStyle w:val="BodyText"/>
        <w:spacing w:before="41"/>
        <w:ind w:left="221"/>
      </w:pPr>
      <w:r>
        <w:rPr/>
        <w:t>议定书》和《中国加入工作组报告书》等。</w:t>
      </w:r>
    </w:p>
    <w:p>
      <w:pPr>
        <w:pStyle w:val="BodyText"/>
        <w:tabs>
          <w:tab w:pos="2779" w:val="left" w:leader="none"/>
        </w:tabs>
        <w:spacing w:line="321" w:lineRule="auto" w:before="153"/>
        <w:ind w:left="221" w:right="266" w:firstLine="638"/>
      </w:pPr>
      <w:r>
        <w:rPr>
          <w:rFonts w:ascii="楷体" w:eastAsia="楷体" w:hint="eastAsia"/>
        </w:rPr>
        <w:t>第二十三条</w:t>
        <w:tab/>
      </w:r>
      <w:r>
        <w:rPr/>
        <w:t>县政府规范性文件草案有下列情形之一的</w:t>
      </w:r>
      <w:r>
        <w:rPr>
          <w:spacing w:val="-13"/>
        </w:rPr>
        <w:t>， </w:t>
      </w:r>
      <w:r>
        <w:rPr/>
        <w:t>县政府法制部门可以缓办</w:t>
      </w:r>
      <w:r>
        <w:rPr>
          <w:spacing w:val="-135"/>
        </w:rPr>
        <w:t>、</w:t>
      </w:r>
      <w:r>
        <w:rPr/>
        <w:t>要求起草部门补交材料或退回起草部门：</w:t>
      </w:r>
    </w:p>
    <w:p>
      <w:pPr>
        <w:pStyle w:val="BodyText"/>
        <w:spacing w:before="1"/>
        <w:ind w:left="860"/>
      </w:pPr>
      <w:r>
        <w:rPr/>
        <w:t>（一）制定规范性文件的条件尚不成熟的；</w:t>
      </w:r>
    </w:p>
    <w:p>
      <w:pPr>
        <w:pStyle w:val="BodyText"/>
        <w:spacing w:line="321" w:lineRule="auto" w:before="152"/>
        <w:ind w:left="221" w:right="266" w:firstLine="638"/>
      </w:pPr>
      <w:r>
        <w:rPr/>
        <w:t>（二）规范性文件内容涉及乡镇（街道、开发区、景区） 或县政府有关部门未征求书面意见或会签的；</w:t>
      </w:r>
    </w:p>
    <w:p>
      <w:pPr>
        <w:pStyle w:val="BodyText"/>
        <w:spacing w:before="1"/>
        <w:ind w:left="860"/>
      </w:pPr>
      <w:r>
        <w:rPr/>
        <w:t>（三）上报规范性文件材料不符合本规定第十九条规定</w:t>
      </w:r>
    </w:p>
    <w:p>
      <w:pPr>
        <w:pStyle w:val="BodyText"/>
        <w:spacing w:before="13"/>
        <w:rPr>
          <w:sz w:val="7"/>
        </w:rPr>
      </w:pPr>
    </w:p>
    <w:p>
      <w:pPr>
        <w:pStyle w:val="BodyText"/>
        <w:spacing w:before="42"/>
        <w:ind w:left="221"/>
      </w:pPr>
      <w:r>
        <w:rPr/>
        <w:t>的；</w:t>
      </w:r>
    </w:p>
    <w:p>
      <w:pPr>
        <w:pStyle w:val="BodyText"/>
        <w:spacing w:before="152"/>
        <w:ind w:left="860"/>
      </w:pPr>
      <w:r>
        <w:rPr/>
        <w:t>（四）规范性文件照搬照抄有关法律、法规、规章或上级</w:t>
      </w:r>
    </w:p>
    <w:p>
      <w:pPr>
        <w:pStyle w:val="BodyText"/>
        <w:spacing w:before="13"/>
        <w:rPr>
          <w:sz w:val="7"/>
        </w:rPr>
      </w:pPr>
    </w:p>
    <w:p>
      <w:pPr>
        <w:pStyle w:val="BodyText"/>
        <w:spacing w:before="42"/>
        <w:ind w:left="221"/>
      </w:pPr>
      <w:r>
        <w:rPr>
          <w:spacing w:val="-20"/>
        </w:rPr>
        <w:t>规范性文件的内容，未结合实际作出具体规定，无制定必要的；</w:t>
      </w:r>
    </w:p>
    <w:p>
      <w:pPr>
        <w:pStyle w:val="BodyText"/>
        <w:spacing w:before="152"/>
        <w:ind w:left="860"/>
      </w:pPr>
      <w:r>
        <w:rPr/>
        <w:t>（五）规范性文件条理不清，逻辑结构混乱的；</w:t>
      </w:r>
    </w:p>
    <w:p>
      <w:pPr>
        <w:pStyle w:val="BodyText"/>
        <w:spacing w:before="153"/>
        <w:ind w:left="860"/>
      </w:pPr>
      <w:r>
        <w:rPr/>
        <w:t>（六）需要缓办、补交材料或退回起草部门的其他情形。</w:t>
      </w:r>
    </w:p>
    <w:p>
      <w:pPr>
        <w:pStyle w:val="BodyText"/>
        <w:spacing w:line="321" w:lineRule="auto" w:before="152"/>
        <w:ind w:left="221" w:right="397" w:firstLine="638"/>
        <w:jc w:val="both"/>
      </w:pPr>
      <w:r>
        <w:rPr>
          <w:rFonts w:ascii="楷体" w:eastAsia="楷体" w:hint="eastAsia"/>
          <w:spacing w:val="4"/>
        </w:rPr>
        <w:t>第二十四条 </w:t>
      </w:r>
      <w:r>
        <w:rPr>
          <w:spacing w:val="6"/>
        </w:rPr>
        <w:t>县政府法制部门对县政府规范性文件草案</w:t>
      </w:r>
      <w:r>
        <w:rPr>
          <w:spacing w:val="-10"/>
        </w:rPr>
        <w:t>进行审查时，可进行必要的调查研究，要求起草部门提供有关</w:t>
      </w:r>
      <w:r>
        <w:rPr>
          <w:spacing w:val="-9"/>
          <w:w w:val="95"/>
        </w:rPr>
        <w:t>资料，征求有关乡镇</w:t>
      </w:r>
      <w:r>
        <w:rPr>
          <w:w w:val="95"/>
        </w:rPr>
        <w:t>（</w:t>
      </w:r>
      <w:r>
        <w:rPr>
          <w:spacing w:val="-8"/>
          <w:w w:val="95"/>
        </w:rPr>
        <w:t>街道、开发区、景区</w:t>
      </w:r>
      <w:r>
        <w:rPr>
          <w:spacing w:val="-27"/>
          <w:w w:val="95"/>
        </w:rPr>
        <w:t>）</w:t>
      </w:r>
      <w:r>
        <w:rPr>
          <w:w w:val="95"/>
        </w:rPr>
        <w:t>或县政府有关部 </w:t>
      </w:r>
      <w:r>
        <w:rPr>
          <w:spacing w:val="-12"/>
        </w:rPr>
        <w:t>门、组织、专家、行政管理相对人和社会有关方面的意见，组</w:t>
      </w:r>
      <w:r>
        <w:rPr>
          <w:spacing w:val="-17"/>
          <w:w w:val="95"/>
        </w:rPr>
        <w:t>织县委县政府法律顾问、有关专家学者进行论证。起草部门应 </w:t>
      </w:r>
      <w:r>
        <w:rPr>
          <w:spacing w:val="-17"/>
        </w:rPr>
        <w:t>积极配合并协助组织好相关活动。</w:t>
      </w:r>
    </w:p>
    <w:p>
      <w:pPr>
        <w:pStyle w:val="BodyText"/>
        <w:tabs>
          <w:tab w:pos="2779" w:val="left" w:leader="none"/>
        </w:tabs>
        <w:spacing w:line="321" w:lineRule="auto" w:before="2"/>
        <w:ind w:left="221" w:right="242" w:firstLine="638"/>
      </w:pPr>
      <w:r>
        <w:rPr>
          <w:rFonts w:ascii="楷体" w:eastAsia="楷体" w:hint="eastAsia"/>
        </w:rPr>
        <w:t>第二十五条</w:t>
        <w:tab/>
      </w:r>
      <w:r>
        <w:rPr/>
        <w:t>县政府法制部门向有关乡</w:t>
      </w:r>
      <w:r>
        <w:rPr>
          <w:spacing w:val="-147"/>
        </w:rPr>
        <w:t>镇</w:t>
      </w:r>
      <w:r>
        <w:rPr/>
        <w:t>（街道</w:t>
      </w:r>
      <w:r>
        <w:rPr>
          <w:spacing w:val="-149"/>
        </w:rPr>
        <w:t>、</w:t>
      </w:r>
      <w:r>
        <w:rPr/>
        <w:t>开发区</w:t>
      </w:r>
      <w:r>
        <w:rPr>
          <w:spacing w:val="-12"/>
        </w:rPr>
        <w:t>、</w:t>
      </w:r>
      <w:r>
        <w:rPr/>
        <w:t>景区</w:t>
      </w:r>
      <w:r>
        <w:rPr>
          <w:spacing w:val="-67"/>
        </w:rPr>
        <w:t>）</w:t>
      </w:r>
      <w:r>
        <w:rPr/>
        <w:t>或县政府有关部门书面征求意见的</w:t>
      </w:r>
      <w:r>
        <w:rPr>
          <w:spacing w:val="-67"/>
        </w:rPr>
        <w:t>，</w:t>
      </w:r>
      <w:r>
        <w:rPr/>
        <w:t>被征求意见的单位在收到征求意见函后</w:t>
      </w:r>
      <w:r>
        <w:rPr>
          <w:spacing w:val="-137"/>
        </w:rPr>
        <w:t>，</w:t>
      </w:r>
      <w:r>
        <w:rPr/>
        <w:t>应按规定期限向县政府法制部门报送书</w:t>
      </w:r>
    </w:p>
    <w:p>
      <w:pPr>
        <w:spacing w:after="0" w:line="321" w:lineRule="auto"/>
        <w:sectPr>
          <w:pgSz w:w="11910" w:h="16840"/>
          <w:pgMar w:header="0" w:footer="1294" w:top="1580" w:bottom="1480" w:left="1480" w:right="1300"/>
        </w:sectPr>
      </w:pPr>
    </w:p>
    <w:p>
      <w:pPr>
        <w:pStyle w:val="BodyText"/>
        <w:spacing w:before="10"/>
        <w:rPr>
          <w:sz w:val="7"/>
        </w:rPr>
      </w:pPr>
    </w:p>
    <w:p>
      <w:pPr>
        <w:pStyle w:val="BodyText"/>
        <w:spacing w:before="41"/>
        <w:ind w:left="221"/>
      </w:pPr>
      <w:r>
        <w:rPr/>
        <w:t>面意见；也可以根据需要将县政府规范性文件草案交有关乡镇</w:t>
      </w:r>
    </w:p>
    <w:p>
      <w:pPr>
        <w:pStyle w:val="BodyText"/>
        <w:spacing w:line="321" w:lineRule="auto" w:before="153"/>
        <w:ind w:left="221" w:right="399"/>
      </w:pPr>
      <w:r>
        <w:rPr/>
        <w:t>（</w:t>
      </w:r>
      <w:r>
        <w:rPr>
          <w:spacing w:val="-9"/>
        </w:rPr>
        <w:t>街道、开发区、景区</w:t>
      </w:r>
      <w:r>
        <w:rPr>
          <w:spacing w:val="-34"/>
        </w:rPr>
        <w:t>）</w:t>
      </w:r>
      <w:r>
        <w:rPr>
          <w:spacing w:val="-3"/>
        </w:rPr>
        <w:t>或县政府有关部门进行会签。起草部门应积极配合做好征求意见或会签工作。</w:t>
      </w:r>
    </w:p>
    <w:p>
      <w:pPr>
        <w:pStyle w:val="BodyText"/>
        <w:spacing w:line="321" w:lineRule="auto"/>
        <w:ind w:left="221" w:right="399" w:firstLine="638"/>
        <w:jc w:val="both"/>
      </w:pPr>
      <w:r>
        <w:rPr>
          <w:rFonts w:ascii="楷体" w:eastAsia="楷体" w:hint="eastAsia"/>
          <w:spacing w:val="25"/>
        </w:rPr>
        <w:t>第二十六条 </w:t>
      </w:r>
      <w:r>
        <w:rPr>
          <w:spacing w:val="-12"/>
        </w:rPr>
        <w:t>除依法应保密的事项外，县政府法制部门应</w:t>
      </w:r>
      <w:r>
        <w:rPr>
          <w:spacing w:val="6"/>
          <w:w w:val="95"/>
        </w:rPr>
        <w:t>将县政府规范性文件草案通过县政府网站向社会公开征求意 </w:t>
      </w:r>
      <w:r>
        <w:rPr>
          <w:spacing w:val="-2"/>
        </w:rPr>
        <w:t>见，征求意见时间不少于 </w:t>
      </w:r>
      <w:r>
        <w:rPr/>
        <w:t>10</w:t>
      </w:r>
      <w:r>
        <w:rPr>
          <w:spacing w:val="-15"/>
        </w:rPr>
        <w:t> 个工作日。</w:t>
      </w:r>
    </w:p>
    <w:p>
      <w:pPr>
        <w:pStyle w:val="BodyText"/>
        <w:spacing w:line="321" w:lineRule="auto" w:before="1"/>
        <w:ind w:left="221" w:right="399" w:firstLine="638"/>
        <w:jc w:val="both"/>
      </w:pPr>
      <w:r>
        <w:rPr>
          <w:rFonts w:ascii="楷体" w:eastAsia="楷体" w:hint="eastAsia"/>
          <w:spacing w:val="4"/>
        </w:rPr>
        <w:t>第二十七条 </w:t>
      </w:r>
      <w:r>
        <w:rPr>
          <w:spacing w:val="6"/>
        </w:rPr>
        <w:t>县政府法制部门应对意见分歧较大的县政</w:t>
      </w:r>
      <w:r>
        <w:rPr>
          <w:spacing w:val="-4"/>
          <w:w w:val="95"/>
        </w:rPr>
        <w:t>府规范性文件草案进行协调，促使达成一致意见；不能达成一 </w:t>
      </w:r>
      <w:r>
        <w:rPr>
          <w:spacing w:val="-13"/>
          <w:w w:val="95"/>
        </w:rPr>
        <w:t>致意见的，应将主要问题、有关单位的意见和法制部门的意见 </w:t>
      </w:r>
      <w:r>
        <w:rPr>
          <w:spacing w:val="-13"/>
        </w:rPr>
        <w:t>报县政府。</w:t>
      </w:r>
    </w:p>
    <w:p>
      <w:pPr>
        <w:pStyle w:val="BodyText"/>
        <w:spacing w:line="321" w:lineRule="auto" w:before="2"/>
        <w:ind w:left="221" w:right="397" w:firstLine="638"/>
        <w:jc w:val="both"/>
      </w:pPr>
      <w:r>
        <w:rPr>
          <w:rFonts w:ascii="楷体" w:eastAsia="楷体" w:hint="eastAsia"/>
          <w:spacing w:val="4"/>
        </w:rPr>
        <w:t>第二十八条 </w:t>
      </w:r>
      <w:r>
        <w:rPr>
          <w:spacing w:val="6"/>
        </w:rPr>
        <w:t>县政府法制部门对县政府规范性文件草案</w:t>
      </w:r>
      <w:r>
        <w:rPr>
          <w:spacing w:val="-5"/>
        </w:rPr>
        <w:t>进行审查修改后报县政府审议，并向县政府提交合法性审查报</w:t>
      </w:r>
      <w:r>
        <w:rPr>
          <w:spacing w:val="-12"/>
        </w:rPr>
        <w:t>告。合法性审查报告应包括审查的基本情况，规范性文件在制</w:t>
      </w:r>
      <w:r>
        <w:rPr>
          <w:spacing w:val="-14"/>
          <w:w w:val="95"/>
        </w:rPr>
        <w:t>定主体、权限、程序、内容、形式等方面是否存在问题，修改 </w:t>
      </w:r>
      <w:r>
        <w:rPr>
          <w:spacing w:val="-14"/>
        </w:rPr>
        <w:t>的意见和建议等内容。</w:t>
      </w:r>
    </w:p>
    <w:p>
      <w:pPr>
        <w:pStyle w:val="BodyText"/>
        <w:tabs>
          <w:tab w:pos="2779" w:val="left" w:leader="none"/>
        </w:tabs>
        <w:spacing w:line="321" w:lineRule="auto" w:before="2"/>
        <w:ind w:left="221" w:right="266" w:firstLine="638"/>
      </w:pPr>
      <w:r>
        <w:rPr>
          <w:rFonts w:ascii="楷体" w:eastAsia="楷体" w:hint="eastAsia"/>
        </w:rPr>
        <w:t>第二十九条</w:t>
        <w:tab/>
      </w:r>
      <w:r>
        <w:rPr/>
        <w:t>县政府部门规范性文件的合法性审查工作</w:t>
      </w:r>
      <w:r>
        <w:rPr>
          <w:spacing w:val="-13"/>
        </w:rPr>
        <w:t>， </w:t>
      </w:r>
      <w:r>
        <w:rPr/>
        <w:t>由部门法制机构负责</w:t>
      </w:r>
      <w:r>
        <w:rPr>
          <w:spacing w:val="-137"/>
        </w:rPr>
        <w:t>，</w:t>
      </w:r>
      <w:r>
        <w:rPr/>
        <w:t>并按照县政府规范性文件合法性审查的有关规定办理。</w:t>
      </w:r>
    </w:p>
    <w:p>
      <w:pPr>
        <w:pStyle w:val="BodyText"/>
        <w:spacing w:before="13"/>
        <w:rPr>
          <w:sz w:val="42"/>
        </w:rPr>
      </w:pPr>
    </w:p>
    <w:p>
      <w:pPr>
        <w:pStyle w:val="BodyText"/>
        <w:tabs>
          <w:tab w:pos="1281" w:val="left" w:leader="none"/>
        </w:tabs>
        <w:ind w:right="180"/>
        <w:jc w:val="center"/>
        <w:rPr>
          <w:rFonts w:ascii="黑体" w:eastAsia="黑体" w:hint="eastAsia"/>
        </w:rPr>
      </w:pPr>
      <w:r>
        <w:rPr>
          <w:rFonts w:ascii="黑体" w:eastAsia="黑体" w:hint="eastAsia"/>
        </w:rPr>
        <w:t>第五章</w:t>
        <w:tab/>
        <w:t>审议与签署</w:t>
      </w:r>
    </w:p>
    <w:p>
      <w:pPr>
        <w:pStyle w:val="BodyText"/>
        <w:rPr>
          <w:rFonts w:ascii="黑体"/>
        </w:rPr>
      </w:pPr>
    </w:p>
    <w:p>
      <w:pPr>
        <w:pStyle w:val="BodyText"/>
        <w:spacing w:before="9"/>
        <w:rPr>
          <w:rFonts w:ascii="黑体"/>
          <w:sz w:val="29"/>
        </w:rPr>
      </w:pPr>
    </w:p>
    <w:p>
      <w:pPr>
        <w:pStyle w:val="BodyText"/>
        <w:tabs>
          <w:tab w:pos="2460" w:val="left" w:leader="none"/>
        </w:tabs>
        <w:ind w:left="860"/>
      </w:pPr>
      <w:r>
        <w:rPr>
          <w:rFonts w:ascii="楷体" w:eastAsia="楷体" w:hint="eastAsia"/>
        </w:rPr>
        <w:t>第三十条</w:t>
        <w:tab/>
      </w:r>
      <w:r>
        <w:rPr/>
        <w:t>县政府规范性文件须经县政府常务会议审议，</w:t>
      </w:r>
    </w:p>
    <w:p>
      <w:pPr>
        <w:spacing w:after="0"/>
        <w:sectPr>
          <w:pgSz w:w="11910" w:h="16840"/>
          <w:pgMar w:header="0" w:footer="1294" w:top="1580" w:bottom="1480" w:left="1480" w:right="1300"/>
        </w:sectPr>
      </w:pPr>
    </w:p>
    <w:p>
      <w:pPr>
        <w:pStyle w:val="BodyText"/>
        <w:spacing w:before="10"/>
        <w:rPr>
          <w:sz w:val="7"/>
        </w:rPr>
      </w:pPr>
    </w:p>
    <w:p>
      <w:pPr>
        <w:pStyle w:val="BodyText"/>
        <w:spacing w:line="321" w:lineRule="auto" w:before="41"/>
        <w:ind w:left="221" w:right="399"/>
        <w:jc w:val="both"/>
      </w:pPr>
      <w:r>
        <w:rPr>
          <w:spacing w:val="-7"/>
        </w:rPr>
        <w:t>通过后由县政府主要负责人或其委托负责人签署。县政府部门</w:t>
      </w:r>
      <w:r>
        <w:rPr>
          <w:spacing w:val="-15"/>
          <w:w w:val="95"/>
        </w:rPr>
        <w:t>规范性文件由县政府部门集体审议决定，并由部门主要负责人 </w:t>
      </w:r>
      <w:r>
        <w:rPr>
          <w:spacing w:val="-15"/>
        </w:rPr>
        <w:t>或其委托负责人签署。</w:t>
      </w:r>
    </w:p>
    <w:p>
      <w:pPr>
        <w:pStyle w:val="BodyText"/>
        <w:spacing w:line="321" w:lineRule="auto" w:before="1"/>
        <w:ind w:left="221" w:right="397" w:firstLine="638"/>
        <w:jc w:val="both"/>
      </w:pPr>
      <w:r>
        <w:rPr>
          <w:rFonts w:ascii="楷体" w:eastAsia="楷体" w:hint="eastAsia"/>
          <w:spacing w:val="24"/>
        </w:rPr>
        <w:t>第三十一条 </w:t>
      </w:r>
      <w:r>
        <w:rPr>
          <w:spacing w:val="-12"/>
        </w:rPr>
        <w:t>制定规范性文件应按照《山东省行政程序规</w:t>
      </w:r>
      <w:r>
        <w:rPr>
          <w:spacing w:val="-13"/>
        </w:rPr>
        <w:t>定》的要求，严格执行公开征求意见、听证、专家论证、合法</w:t>
      </w:r>
      <w:r>
        <w:rPr>
          <w:spacing w:val="-15"/>
          <w:w w:val="95"/>
        </w:rPr>
        <w:t>性审查、集体讨论决定等程序。未经合法性审查、集体讨论决 </w:t>
      </w:r>
      <w:r>
        <w:rPr>
          <w:spacing w:val="-15"/>
        </w:rPr>
        <w:t>定的不得公布施行。</w:t>
      </w:r>
    </w:p>
    <w:p>
      <w:pPr>
        <w:pStyle w:val="BodyText"/>
        <w:spacing w:line="321" w:lineRule="auto" w:before="2"/>
        <w:ind w:left="221" w:right="399" w:firstLine="638"/>
        <w:jc w:val="both"/>
      </w:pPr>
      <w:r>
        <w:rPr>
          <w:rFonts w:ascii="楷体" w:eastAsia="楷体" w:hint="eastAsia"/>
          <w:spacing w:val="25"/>
        </w:rPr>
        <w:t>第三十二条 </w:t>
      </w:r>
      <w:r>
        <w:rPr>
          <w:spacing w:val="-11"/>
        </w:rPr>
        <w:t>因发生重大自然灾害、事故灾难、公共卫生</w:t>
      </w:r>
      <w:r>
        <w:rPr>
          <w:spacing w:val="-17"/>
          <w:w w:val="95"/>
        </w:rPr>
        <w:t>事件或其他社会安全事件，以及执行上级机关的紧急命令和决 </w:t>
      </w:r>
      <w:r>
        <w:rPr>
          <w:spacing w:val="-21"/>
          <w:w w:val="95"/>
        </w:rPr>
        <w:t>定等紧急情况需立即制定规范性文件的，经县政府法制部门或 </w:t>
      </w:r>
      <w:r>
        <w:rPr>
          <w:spacing w:val="-22"/>
        </w:rPr>
        <w:t>县政府部门法制机构合法性审查后，可直接提请县政府或县政府部门主要负责人或其委托负责人决定和签署。</w:t>
      </w:r>
    </w:p>
    <w:p>
      <w:pPr>
        <w:pStyle w:val="BodyText"/>
        <w:rPr>
          <w:sz w:val="43"/>
        </w:rPr>
      </w:pPr>
    </w:p>
    <w:p>
      <w:pPr>
        <w:pStyle w:val="BodyText"/>
        <w:tabs>
          <w:tab w:pos="1281" w:val="left" w:leader="none"/>
        </w:tabs>
        <w:ind w:right="180"/>
        <w:jc w:val="center"/>
        <w:rPr>
          <w:rFonts w:ascii="黑体" w:eastAsia="黑体" w:hint="eastAsia"/>
        </w:rPr>
      </w:pPr>
      <w:r>
        <w:rPr>
          <w:rFonts w:ascii="黑体" w:eastAsia="黑体" w:hint="eastAsia"/>
        </w:rPr>
        <w:t>第六章</w:t>
        <w:tab/>
        <w:t>三统一制度</w:t>
      </w:r>
    </w:p>
    <w:p>
      <w:pPr>
        <w:pStyle w:val="BodyText"/>
        <w:rPr>
          <w:rFonts w:ascii="黑体"/>
        </w:rPr>
      </w:pPr>
    </w:p>
    <w:p>
      <w:pPr>
        <w:pStyle w:val="BodyText"/>
        <w:spacing w:before="8"/>
        <w:rPr>
          <w:rFonts w:ascii="黑体"/>
          <w:sz w:val="29"/>
        </w:rPr>
      </w:pPr>
    </w:p>
    <w:p>
      <w:pPr>
        <w:pStyle w:val="BodyText"/>
        <w:tabs>
          <w:tab w:pos="2779" w:val="left" w:leader="none"/>
        </w:tabs>
        <w:spacing w:line="321" w:lineRule="auto" w:before="1"/>
        <w:ind w:left="221" w:right="266" w:firstLine="638"/>
      </w:pPr>
      <w:r>
        <w:rPr>
          <w:rFonts w:ascii="楷体" w:eastAsia="楷体" w:hint="eastAsia"/>
        </w:rPr>
        <w:t>第三十三条</w:t>
        <w:tab/>
      </w:r>
      <w:r>
        <w:rPr/>
        <w:t>制定规范性文件实行统一登记、统一编号</w:t>
      </w:r>
      <w:r>
        <w:rPr>
          <w:spacing w:val="-13"/>
        </w:rPr>
        <w:t>、</w:t>
      </w:r>
      <w:r>
        <w:rPr/>
        <w:t>统一公布制度</w:t>
      </w:r>
      <w:r>
        <w:rPr>
          <w:spacing w:val="-46"/>
        </w:rPr>
        <w:t>。</w:t>
      </w:r>
      <w:r>
        <w:rPr/>
        <w:t>未经统一登记</w:t>
      </w:r>
      <w:r>
        <w:rPr>
          <w:spacing w:val="-43"/>
        </w:rPr>
        <w:t>、</w:t>
      </w:r>
      <w:r>
        <w:rPr/>
        <w:t>统一编号</w:t>
      </w:r>
      <w:r>
        <w:rPr>
          <w:spacing w:val="-43"/>
        </w:rPr>
        <w:t>、</w:t>
      </w:r>
      <w:r>
        <w:rPr/>
        <w:t>统一公布的规范性文件无效，不得作为行政管理的依据。</w:t>
      </w:r>
    </w:p>
    <w:p>
      <w:pPr>
        <w:pStyle w:val="BodyText"/>
        <w:spacing w:line="321" w:lineRule="auto" w:before="1"/>
        <w:ind w:left="221" w:right="266" w:firstLine="638"/>
        <w:jc w:val="both"/>
      </w:pPr>
      <w:r>
        <w:rPr>
          <w:rFonts w:ascii="楷体" w:eastAsia="楷体" w:hint="eastAsia"/>
          <w:spacing w:val="5"/>
        </w:rPr>
        <w:t>第三十四条 </w:t>
      </w:r>
      <w:r>
        <w:rPr>
          <w:spacing w:val="6"/>
        </w:rPr>
        <w:t>县政府法制部门负责县政府规范性文件的</w:t>
      </w:r>
      <w:r>
        <w:rPr>
          <w:spacing w:val="-12"/>
        </w:rPr>
        <w:t>统一登记、统一编号工作。县政府部门法制机构负责对本部门</w:t>
      </w:r>
      <w:r>
        <w:rPr>
          <w:spacing w:val="-17"/>
        </w:rPr>
        <w:t>规范性文件进行统一登记、统一编号，县政府部门在登记编号前应就拟登记编号的规范性文件与县政府法制部门进行沟通。</w:t>
      </w:r>
    </w:p>
    <w:p>
      <w:pPr>
        <w:spacing w:after="0" w:line="321" w:lineRule="auto"/>
        <w:jc w:val="both"/>
        <w:sectPr>
          <w:pgSz w:w="11910" w:h="16840"/>
          <w:pgMar w:header="0" w:footer="1294" w:top="1580" w:bottom="1480" w:left="1480" w:right="1300"/>
        </w:sectPr>
      </w:pPr>
    </w:p>
    <w:p>
      <w:pPr>
        <w:pStyle w:val="BodyText"/>
        <w:spacing w:before="10"/>
        <w:rPr>
          <w:sz w:val="7"/>
        </w:rPr>
      </w:pPr>
    </w:p>
    <w:p>
      <w:pPr>
        <w:pStyle w:val="BodyText"/>
        <w:spacing w:line="321" w:lineRule="auto" w:before="41"/>
        <w:ind w:left="221" w:right="266"/>
      </w:pPr>
      <w:r>
        <w:rPr/>
        <w:t>多个部门联合制定的规范性文件，由牵头部门负责统一登记、统一编号。</w:t>
      </w:r>
    </w:p>
    <w:p>
      <w:pPr>
        <w:pStyle w:val="BodyText"/>
        <w:spacing w:line="321" w:lineRule="auto" w:before="1"/>
        <w:ind w:left="221" w:right="399" w:firstLine="638"/>
        <w:jc w:val="both"/>
      </w:pPr>
      <w:r>
        <w:rPr>
          <w:rFonts w:ascii="楷体" w:eastAsia="楷体" w:hint="eastAsia"/>
          <w:spacing w:val="25"/>
        </w:rPr>
        <w:t>第三十五条 </w:t>
      </w:r>
      <w:r>
        <w:rPr>
          <w:spacing w:val="-7"/>
        </w:rPr>
        <w:t>自规范性文件签署之日起 </w:t>
      </w:r>
      <w:r>
        <w:rPr/>
        <w:t>3</w:t>
      </w:r>
      <w:r>
        <w:rPr>
          <w:spacing w:val="-28"/>
        </w:rPr>
        <w:t> 个工作日内，由</w:t>
      </w:r>
      <w:r>
        <w:rPr>
          <w:spacing w:val="6"/>
          <w:w w:val="95"/>
        </w:rPr>
        <w:t>起草部门或起草部门业务机构向县政府法制部门或本部门法 </w:t>
      </w:r>
      <w:r>
        <w:rPr>
          <w:spacing w:val="6"/>
        </w:rPr>
        <w:t>制机构提供以下材料办理登记编号：</w:t>
      </w:r>
    </w:p>
    <w:p>
      <w:pPr>
        <w:pStyle w:val="BodyText"/>
        <w:spacing w:before="1"/>
        <w:ind w:left="860"/>
        <w:jc w:val="both"/>
      </w:pPr>
      <w:r>
        <w:rPr/>
        <w:t>（一）规范性文件登记编号申请书 1 份；</w:t>
      </w:r>
    </w:p>
    <w:p>
      <w:pPr>
        <w:pStyle w:val="BodyText"/>
        <w:spacing w:before="152"/>
        <w:ind w:left="860"/>
        <w:jc w:val="both"/>
      </w:pPr>
      <w:r>
        <w:rPr/>
        <w:t>（二）规范性文件纸质正式文本清样 1 份；</w:t>
      </w:r>
    </w:p>
    <w:p>
      <w:pPr>
        <w:pStyle w:val="BodyText"/>
        <w:spacing w:line="321" w:lineRule="auto" w:before="153"/>
        <w:ind w:left="221" w:right="399" w:firstLine="638"/>
      </w:pPr>
      <w:r>
        <w:rPr/>
        <w:t>（三</w:t>
      </w:r>
      <w:r>
        <w:rPr>
          <w:spacing w:val="-135"/>
        </w:rPr>
        <w:t>）</w:t>
      </w:r>
      <w:r>
        <w:rPr/>
        <w:t>县政府或县政府部门主要负责人或其委托负责人签</w:t>
      </w:r>
      <w:r>
        <w:rPr>
          <w:spacing w:val="-14"/>
        </w:rPr>
        <w:t>署的办文单 </w:t>
      </w:r>
      <w:r>
        <w:rPr/>
        <w:t>1</w:t>
      </w:r>
      <w:r>
        <w:rPr>
          <w:spacing w:val="-28"/>
        </w:rPr>
        <w:t> 份。</w:t>
      </w:r>
    </w:p>
    <w:p>
      <w:pPr>
        <w:pStyle w:val="BodyText"/>
        <w:spacing w:line="321" w:lineRule="auto" w:before="1"/>
        <w:ind w:left="221" w:right="399" w:firstLine="638"/>
      </w:pPr>
      <w:r>
        <w:rPr>
          <w:spacing w:val="-12"/>
        </w:rPr>
        <w:t>符合规定的，县政府法制部门或县政府部门法制机构进行登记编号，出具《规范性文件登记通知书》。</w:t>
      </w:r>
    </w:p>
    <w:p>
      <w:pPr>
        <w:pStyle w:val="BodyText"/>
        <w:tabs>
          <w:tab w:pos="2832" w:val="left" w:leader="none"/>
        </w:tabs>
        <w:spacing w:line="321" w:lineRule="auto"/>
        <w:ind w:left="221" w:right="266" w:firstLine="638"/>
      </w:pPr>
      <w:r>
        <w:rPr>
          <w:rFonts w:ascii="楷体" w:hAnsi="楷体" w:eastAsia="楷体" w:hint="eastAsia"/>
          <w:spacing w:val="9"/>
        </w:rPr>
        <w:t>第</w:t>
      </w:r>
      <w:r>
        <w:rPr>
          <w:rFonts w:ascii="楷体" w:hAnsi="楷体" w:eastAsia="楷体" w:hint="eastAsia"/>
          <w:spacing w:val="7"/>
        </w:rPr>
        <w:t>三</w:t>
      </w:r>
      <w:r>
        <w:rPr>
          <w:rFonts w:ascii="楷体" w:hAnsi="楷体" w:eastAsia="楷体" w:hint="eastAsia"/>
          <w:spacing w:val="9"/>
        </w:rPr>
        <w:t>十</w:t>
      </w:r>
      <w:r>
        <w:rPr>
          <w:rFonts w:ascii="楷体" w:hAnsi="楷体" w:eastAsia="楷体" w:hint="eastAsia"/>
          <w:spacing w:val="7"/>
        </w:rPr>
        <w:t>六</w:t>
      </w:r>
      <w:r>
        <w:rPr>
          <w:rFonts w:ascii="楷体" w:hAnsi="楷体" w:eastAsia="楷体" w:hint="eastAsia"/>
        </w:rPr>
        <w:t>条</w:t>
        <w:tab/>
      </w:r>
      <w:r>
        <w:rPr>
          <w:spacing w:val="9"/>
        </w:rPr>
        <w:t>县</w:t>
      </w:r>
      <w:r>
        <w:rPr>
          <w:spacing w:val="7"/>
        </w:rPr>
        <w:t>政</w:t>
      </w:r>
      <w:r>
        <w:rPr>
          <w:spacing w:val="9"/>
        </w:rPr>
        <w:t>府</w:t>
      </w:r>
      <w:r>
        <w:rPr>
          <w:spacing w:val="7"/>
        </w:rPr>
        <w:t>规</w:t>
      </w:r>
      <w:r>
        <w:rPr>
          <w:spacing w:val="9"/>
        </w:rPr>
        <w:t>范</w:t>
      </w:r>
      <w:r>
        <w:rPr>
          <w:spacing w:val="7"/>
        </w:rPr>
        <w:t>性</w:t>
      </w:r>
      <w:r>
        <w:rPr>
          <w:spacing w:val="9"/>
        </w:rPr>
        <w:t>文</w:t>
      </w:r>
      <w:r>
        <w:rPr>
          <w:spacing w:val="7"/>
        </w:rPr>
        <w:t>件</w:t>
      </w:r>
      <w:r>
        <w:rPr>
          <w:spacing w:val="9"/>
        </w:rPr>
        <w:t>和</w:t>
      </w:r>
      <w:r>
        <w:rPr>
          <w:spacing w:val="7"/>
        </w:rPr>
        <w:t>县</w:t>
      </w:r>
      <w:r>
        <w:rPr>
          <w:spacing w:val="9"/>
        </w:rPr>
        <w:t>政</w:t>
      </w:r>
      <w:r>
        <w:rPr>
          <w:spacing w:val="7"/>
        </w:rPr>
        <w:t>府</w:t>
      </w:r>
      <w:r>
        <w:rPr>
          <w:spacing w:val="9"/>
        </w:rPr>
        <w:t>部</w:t>
      </w:r>
      <w:r>
        <w:rPr>
          <w:spacing w:val="7"/>
        </w:rPr>
        <w:t>门</w:t>
      </w:r>
      <w:r>
        <w:rPr>
          <w:spacing w:val="9"/>
        </w:rPr>
        <w:t>规</w:t>
      </w:r>
      <w:r>
        <w:rPr>
          <w:spacing w:val="7"/>
        </w:rPr>
        <w:t>范</w:t>
      </w:r>
      <w:r>
        <w:rPr>
          <w:spacing w:val="9"/>
        </w:rPr>
        <w:t>性</w:t>
      </w:r>
      <w:r>
        <w:rPr/>
        <w:t>文件登记号由三部分组成</w:t>
      </w:r>
      <w:r>
        <w:rPr>
          <w:spacing w:val="-12"/>
        </w:rPr>
        <w:t>：</w:t>
      </w:r>
      <w:r>
        <w:rPr/>
        <w:t>第一部分</w:t>
      </w:r>
      <w:r>
        <w:rPr>
          <w:spacing w:val="-15"/>
        </w:rPr>
        <w:t>为</w:t>
      </w:r>
      <w:r>
        <w:rPr>
          <w:spacing w:val="-4"/>
        </w:rPr>
        <w:t>“TCDR”，</w:t>
      </w:r>
      <w:r>
        <w:rPr/>
        <w:t>即登记机关行政区域英文简称加行政级别英文简称</w:t>
      </w:r>
      <w:r>
        <w:rPr>
          <w:spacing w:val="-12"/>
        </w:rPr>
        <w:t>加</w:t>
      </w:r>
      <w:r>
        <w:rPr>
          <w:spacing w:val="-4"/>
        </w:rPr>
        <w:t>“R”</w:t>
      </w:r>
      <w:r>
        <w:rPr>
          <w:spacing w:val="-12"/>
        </w:rPr>
        <w:t>。</w:t>
      </w:r>
      <w:r>
        <w:rPr/>
        <w:t>第二部分为年份，年份为登记当年的公元年份，以阿拉伯数字全称标识</w:t>
      </w:r>
      <w:r>
        <w:rPr>
          <w:spacing w:val="-11"/>
        </w:rPr>
        <w:t>。</w:t>
      </w:r>
      <w:r>
        <w:rPr/>
        <w:t>第三部分为制定机关单位代码和登记流水号</w:t>
      </w:r>
      <w:r>
        <w:rPr>
          <w:spacing w:val="-135"/>
        </w:rPr>
        <w:t>，</w:t>
      </w:r>
      <w:r>
        <w:rPr/>
        <w:t>机关单位代码由县政府法制部门按规定统一编制</w:t>
      </w:r>
      <w:r>
        <w:rPr>
          <w:spacing w:val="-135"/>
        </w:rPr>
        <w:t>；</w:t>
      </w:r>
      <w:r>
        <w:rPr/>
        <w:t>登记流水号为三位阿拉伯数</w:t>
      </w:r>
      <w:r>
        <w:rPr>
          <w:spacing w:val="5"/>
        </w:rPr>
        <w:t>字</w:t>
      </w:r>
      <w:r>
        <w:rPr/>
        <w:t>，</w:t>
      </w:r>
      <w:r>
        <w:rPr>
          <w:spacing w:val="5"/>
        </w:rPr>
        <w:t>每个部</w:t>
      </w:r>
      <w:r>
        <w:rPr/>
        <w:t>门</w:t>
      </w:r>
      <w:r>
        <w:rPr>
          <w:spacing w:val="5"/>
        </w:rPr>
        <w:t>编一组</w:t>
      </w:r>
      <w:r>
        <w:rPr/>
        <w:t>，</w:t>
      </w:r>
      <w:r>
        <w:rPr>
          <w:spacing w:val="5"/>
        </w:rPr>
        <w:t>按登记</w:t>
      </w:r>
      <w:r>
        <w:rPr/>
        <w:t>顺</w:t>
      </w:r>
      <w:r>
        <w:rPr>
          <w:spacing w:val="5"/>
        </w:rPr>
        <w:t>序，</w:t>
      </w:r>
      <w:r>
        <w:rPr/>
        <w:t>每</w:t>
      </w:r>
      <w:r>
        <w:rPr>
          <w:spacing w:val="5"/>
        </w:rPr>
        <w:t>年</w:t>
      </w:r>
      <w:r>
        <w:rPr/>
        <w:t>从</w:t>
      </w:r>
      <w:r>
        <w:rPr>
          <w:spacing w:val="2"/>
        </w:rPr>
        <w:t>“001”</w:t>
      </w:r>
      <w:r>
        <w:rPr>
          <w:spacing w:val="5"/>
        </w:rPr>
        <w:t>起</w:t>
      </w:r>
      <w:r>
        <w:rPr/>
        <w:t>，</w:t>
      </w:r>
      <w:r>
        <w:rPr>
          <w:spacing w:val="5"/>
        </w:rPr>
        <w:t>末</w:t>
      </w:r>
      <w:r>
        <w:rPr/>
        <w:t>尾不</w:t>
      </w:r>
      <w:r>
        <w:rPr>
          <w:spacing w:val="-34"/>
        </w:rPr>
        <w:t>用</w:t>
      </w:r>
      <w:r>
        <w:rPr/>
        <w:t>“号</w:t>
      </w:r>
      <w:r>
        <w:rPr>
          <w:spacing w:val="-34"/>
        </w:rPr>
        <w:t>”</w:t>
      </w:r>
      <w:r>
        <w:rPr/>
        <w:t>字</w:t>
      </w:r>
      <w:r>
        <w:rPr>
          <w:spacing w:val="-31"/>
        </w:rPr>
        <w:t>；</w:t>
      </w:r>
      <w:r>
        <w:rPr/>
        <w:t>制定单位代码与登记流水号连接</w:t>
      </w:r>
      <w:r>
        <w:rPr>
          <w:spacing w:val="-34"/>
        </w:rPr>
        <w:t>，</w:t>
      </w:r>
      <w:r>
        <w:rPr/>
        <w:t>中间不用连</w:t>
      </w:r>
      <w:r>
        <w:rPr>
          <w:w w:val="95"/>
        </w:rPr>
        <w:t>接符分隔。三个部分之间各用一个西文字符位的短横杠连接</w:t>
      </w:r>
      <w:r>
        <w:rPr>
          <w:spacing w:val="-11"/>
          <w:w w:val="95"/>
        </w:rPr>
        <w:t>。</w:t>
      </w:r>
    </w:p>
    <w:p>
      <w:pPr>
        <w:pStyle w:val="BodyText"/>
        <w:tabs>
          <w:tab w:pos="2832" w:val="left" w:leader="none"/>
        </w:tabs>
        <w:spacing w:line="321" w:lineRule="auto" w:before="4"/>
        <w:ind w:left="221" w:right="398" w:firstLine="638"/>
      </w:pPr>
      <w:r>
        <w:rPr>
          <w:rFonts w:ascii="楷体" w:eastAsia="楷体" w:hint="eastAsia"/>
          <w:spacing w:val="9"/>
        </w:rPr>
        <w:t>第</w:t>
      </w:r>
      <w:r>
        <w:rPr>
          <w:rFonts w:ascii="楷体" w:eastAsia="楷体" w:hint="eastAsia"/>
          <w:spacing w:val="7"/>
        </w:rPr>
        <w:t>三</w:t>
      </w:r>
      <w:r>
        <w:rPr>
          <w:rFonts w:ascii="楷体" w:eastAsia="楷体" w:hint="eastAsia"/>
          <w:spacing w:val="9"/>
        </w:rPr>
        <w:t>十</w:t>
      </w:r>
      <w:r>
        <w:rPr>
          <w:rFonts w:ascii="楷体" w:eastAsia="楷体" w:hint="eastAsia"/>
          <w:spacing w:val="7"/>
        </w:rPr>
        <w:t>七</w:t>
      </w:r>
      <w:r>
        <w:rPr>
          <w:rFonts w:ascii="楷体" w:eastAsia="楷体" w:hint="eastAsia"/>
        </w:rPr>
        <w:t>条</w:t>
        <w:tab/>
      </w:r>
      <w:r>
        <w:rPr>
          <w:spacing w:val="9"/>
          <w:w w:val="95"/>
        </w:rPr>
        <w:t>经</w:t>
      </w:r>
      <w:r>
        <w:rPr>
          <w:spacing w:val="7"/>
          <w:w w:val="95"/>
        </w:rPr>
        <w:t>登</w:t>
      </w:r>
      <w:r>
        <w:rPr>
          <w:spacing w:val="9"/>
          <w:w w:val="95"/>
        </w:rPr>
        <w:t>记</w:t>
      </w:r>
      <w:r>
        <w:rPr>
          <w:spacing w:val="7"/>
          <w:w w:val="95"/>
        </w:rPr>
        <w:t>编</w:t>
      </w:r>
      <w:r>
        <w:rPr>
          <w:spacing w:val="9"/>
          <w:w w:val="95"/>
        </w:rPr>
        <w:t>号</w:t>
      </w:r>
      <w:r>
        <w:rPr>
          <w:spacing w:val="7"/>
          <w:w w:val="95"/>
        </w:rPr>
        <w:t>后</w:t>
      </w:r>
      <w:r>
        <w:rPr>
          <w:spacing w:val="9"/>
          <w:w w:val="95"/>
        </w:rPr>
        <w:t>的</w:t>
      </w:r>
      <w:r>
        <w:rPr>
          <w:spacing w:val="7"/>
          <w:w w:val="95"/>
        </w:rPr>
        <w:t>规</w:t>
      </w:r>
      <w:r>
        <w:rPr>
          <w:spacing w:val="9"/>
          <w:w w:val="95"/>
        </w:rPr>
        <w:t>范</w:t>
      </w:r>
      <w:r>
        <w:rPr>
          <w:spacing w:val="7"/>
          <w:w w:val="95"/>
        </w:rPr>
        <w:t>性</w:t>
      </w:r>
      <w:r>
        <w:rPr>
          <w:spacing w:val="9"/>
          <w:w w:val="95"/>
        </w:rPr>
        <w:t>文</w:t>
      </w:r>
      <w:r>
        <w:rPr>
          <w:spacing w:val="7"/>
          <w:w w:val="95"/>
        </w:rPr>
        <w:t>件</w:t>
      </w:r>
      <w:r>
        <w:rPr>
          <w:spacing w:val="9"/>
          <w:w w:val="95"/>
        </w:rPr>
        <w:t>由</w:t>
      </w:r>
      <w:r>
        <w:rPr>
          <w:spacing w:val="7"/>
          <w:w w:val="95"/>
        </w:rPr>
        <w:t>县</w:t>
      </w:r>
      <w:r>
        <w:rPr>
          <w:spacing w:val="9"/>
          <w:w w:val="95"/>
        </w:rPr>
        <w:t>政</w:t>
      </w:r>
      <w:r>
        <w:rPr>
          <w:spacing w:val="7"/>
          <w:w w:val="95"/>
        </w:rPr>
        <w:t>府</w:t>
      </w:r>
      <w:r>
        <w:rPr>
          <w:spacing w:val="9"/>
          <w:w w:val="95"/>
        </w:rPr>
        <w:t>办</w:t>
      </w:r>
      <w:r>
        <w:rPr>
          <w:w w:val="95"/>
        </w:rPr>
        <w:t>公</w:t>
      </w:r>
      <w:r>
        <w:rPr/>
        <w:t>室或县政府部门按规定印发</w:t>
      </w:r>
      <w:r>
        <w:rPr>
          <w:spacing w:val="-24"/>
        </w:rPr>
        <w:t>，</w:t>
      </w:r>
      <w:r>
        <w:rPr/>
        <w:t>规范性文件首页版心左上角第</w:t>
      </w:r>
      <w:r>
        <w:rPr>
          <w:spacing w:val="-90"/>
        </w:rPr>
        <w:t> </w:t>
      </w:r>
      <w:r>
        <w:rPr/>
        <w:t>1</w:t>
      </w:r>
    </w:p>
    <w:p>
      <w:pPr>
        <w:spacing w:after="0" w:line="321" w:lineRule="auto"/>
        <w:sectPr>
          <w:pgSz w:w="11910" w:h="16840"/>
          <w:pgMar w:header="0" w:footer="1294" w:top="1580" w:bottom="1480" w:left="1480" w:right="1300"/>
        </w:sectPr>
      </w:pPr>
    </w:p>
    <w:p>
      <w:pPr>
        <w:pStyle w:val="BodyText"/>
        <w:spacing w:before="10"/>
        <w:rPr>
          <w:sz w:val="7"/>
        </w:rPr>
      </w:pPr>
    </w:p>
    <w:p>
      <w:pPr>
        <w:pStyle w:val="BodyText"/>
        <w:spacing w:line="321" w:lineRule="auto" w:before="41"/>
        <w:ind w:left="221" w:right="399"/>
        <w:jc w:val="both"/>
      </w:pPr>
      <w:r>
        <w:rPr>
          <w:spacing w:val="-9"/>
          <w:w w:val="95"/>
        </w:rPr>
        <w:t>行顶格用三号黑体字标注登记号。规范性文件的起草部门应做 </w:t>
      </w:r>
      <w:r>
        <w:rPr>
          <w:spacing w:val="-16"/>
          <w:w w:val="95"/>
        </w:rPr>
        <w:t>好规范性文件的公布、文件解读等工作。县政府网站或部门网 </w:t>
      </w:r>
      <w:r>
        <w:rPr>
          <w:spacing w:val="-19"/>
          <w:w w:val="95"/>
        </w:rPr>
        <w:t>站应设立规范性文件公布专栏，由制定机关自文件签发之日起  </w:t>
      </w:r>
      <w:r>
        <w:rPr>
          <w:spacing w:val="-19"/>
        </w:rPr>
        <w:t>2</w:t>
      </w:r>
      <w:r>
        <w:rPr>
          <w:spacing w:val="-10"/>
        </w:rPr>
        <w:t> 个工作日内，通过网站专栏、县政府公报统一公布。</w:t>
      </w:r>
    </w:p>
    <w:p>
      <w:pPr>
        <w:pStyle w:val="BodyText"/>
        <w:spacing w:line="321" w:lineRule="auto" w:before="2"/>
        <w:ind w:left="221" w:right="401" w:firstLine="638"/>
        <w:jc w:val="both"/>
      </w:pPr>
      <w:r>
        <w:rPr>
          <w:rFonts w:ascii="楷体" w:eastAsia="楷体" w:hint="eastAsia"/>
        </w:rPr>
        <w:t>第三十八条 </w:t>
      </w:r>
      <w:r>
        <w:rPr/>
        <w:t>县政府法制部门、县政府部门应建立规范性文件登记簿和数据库，及时进行登记。</w:t>
      </w:r>
    </w:p>
    <w:p>
      <w:pPr>
        <w:pStyle w:val="BodyText"/>
        <w:spacing w:before="13"/>
        <w:rPr>
          <w:sz w:val="42"/>
        </w:rPr>
      </w:pPr>
    </w:p>
    <w:p>
      <w:pPr>
        <w:pStyle w:val="BodyText"/>
        <w:tabs>
          <w:tab w:pos="1281" w:val="left" w:leader="none"/>
        </w:tabs>
        <w:ind w:right="180"/>
        <w:jc w:val="center"/>
        <w:rPr>
          <w:rFonts w:ascii="黑体" w:eastAsia="黑体" w:hint="eastAsia"/>
        </w:rPr>
      </w:pPr>
      <w:r>
        <w:rPr>
          <w:rFonts w:ascii="黑体" w:eastAsia="黑体" w:hint="eastAsia"/>
        </w:rPr>
        <w:t>第七章</w:t>
        <w:tab/>
        <w:t>备案与解释</w:t>
      </w:r>
    </w:p>
    <w:p>
      <w:pPr>
        <w:pStyle w:val="BodyText"/>
        <w:rPr>
          <w:rFonts w:ascii="黑体"/>
        </w:rPr>
      </w:pPr>
    </w:p>
    <w:p>
      <w:pPr>
        <w:pStyle w:val="BodyText"/>
        <w:spacing w:before="8"/>
        <w:rPr>
          <w:rFonts w:ascii="黑体"/>
          <w:sz w:val="29"/>
        </w:rPr>
      </w:pPr>
    </w:p>
    <w:p>
      <w:pPr>
        <w:pStyle w:val="BodyText"/>
        <w:spacing w:line="321" w:lineRule="auto"/>
        <w:ind w:left="221" w:right="399" w:firstLine="638"/>
        <w:jc w:val="both"/>
      </w:pPr>
      <w:r>
        <w:rPr>
          <w:rFonts w:ascii="楷体" w:eastAsia="楷体" w:hint="eastAsia"/>
          <w:spacing w:val="25"/>
        </w:rPr>
        <w:t>第三十九条 </w:t>
      </w:r>
      <w:r>
        <w:rPr>
          <w:spacing w:val="-9"/>
        </w:rPr>
        <w:t>县政府法制部门在县政府领导下，负责规范</w:t>
      </w:r>
      <w:r>
        <w:rPr>
          <w:spacing w:val="-15"/>
          <w:w w:val="95"/>
        </w:rPr>
        <w:t>性文件的备案工作，履行备案审查监督职责。县政府部门法制 </w:t>
      </w:r>
      <w:r>
        <w:rPr>
          <w:spacing w:val="-20"/>
          <w:w w:val="95"/>
        </w:rPr>
        <w:t>机构负责本部门的规范性文件备案工作。报县政府备案的规范 </w:t>
      </w:r>
      <w:r>
        <w:rPr>
          <w:spacing w:val="-20"/>
        </w:rPr>
        <w:t>性文件，径送县政府法制部门。</w:t>
      </w:r>
    </w:p>
    <w:p>
      <w:pPr>
        <w:pStyle w:val="BodyText"/>
        <w:spacing w:line="321" w:lineRule="auto" w:before="2"/>
        <w:ind w:left="221" w:right="397" w:firstLine="638"/>
        <w:jc w:val="both"/>
      </w:pPr>
      <w:r>
        <w:rPr>
          <w:rFonts w:ascii="楷体" w:eastAsia="楷体" w:hint="eastAsia"/>
          <w:spacing w:val="1"/>
        </w:rPr>
        <w:t>第四十条 </w:t>
      </w:r>
      <w:r>
        <w:rPr>
          <w:spacing w:val="-5"/>
        </w:rPr>
        <w:t>县政府规范性文件自公布之日起 </w:t>
      </w:r>
      <w:r>
        <w:rPr/>
        <w:t>30</w:t>
      </w:r>
      <w:r>
        <w:rPr>
          <w:spacing w:val="-16"/>
        </w:rPr>
        <w:t> 日内由县</w:t>
      </w:r>
      <w:r>
        <w:rPr>
          <w:spacing w:val="6"/>
          <w:w w:val="95"/>
        </w:rPr>
        <w:t>政府办公室和县政府法制部门按规定报市政府和县人大常委 </w:t>
      </w:r>
      <w:r>
        <w:rPr>
          <w:spacing w:val="-12"/>
        </w:rPr>
        <w:t>会备案。县政府部门规范性文件由县政府部门法制机构自公布</w:t>
      </w:r>
      <w:r>
        <w:rPr>
          <w:spacing w:val="-27"/>
        </w:rPr>
        <w:t>之日起 </w:t>
      </w:r>
      <w:r>
        <w:rPr/>
        <w:t>30</w:t>
      </w:r>
      <w:r>
        <w:rPr>
          <w:spacing w:val="-8"/>
        </w:rPr>
        <w:t> 日内将备案报告、纸质正式文本、起草说明和法制</w:t>
      </w:r>
    </w:p>
    <w:p>
      <w:pPr>
        <w:pStyle w:val="BodyText"/>
        <w:spacing w:line="321" w:lineRule="auto" w:before="1"/>
        <w:ind w:left="221" w:right="401"/>
        <w:jc w:val="both"/>
      </w:pPr>
      <w:r>
        <w:rPr>
          <w:spacing w:val="-6"/>
        </w:rPr>
        <w:t>机构合法性审查报告等有关材料一式 </w:t>
      </w:r>
      <w:r>
        <w:rPr/>
        <w:t>2</w:t>
      </w:r>
      <w:r>
        <w:rPr>
          <w:spacing w:val="-21"/>
        </w:rPr>
        <w:t> 份报县政府备案，由县</w:t>
      </w:r>
      <w:r>
        <w:rPr>
          <w:spacing w:val="-22"/>
          <w:w w:val="95"/>
        </w:rPr>
        <w:t>政府法制部门按规定进行备案审查。多个部门联合制定的规范 </w:t>
      </w:r>
      <w:r>
        <w:rPr>
          <w:spacing w:val="-22"/>
        </w:rPr>
        <w:t>性文件，由主办部门报县政府备案。</w:t>
      </w:r>
    </w:p>
    <w:p>
      <w:pPr>
        <w:pStyle w:val="BodyText"/>
        <w:spacing w:line="321" w:lineRule="auto" w:before="1"/>
        <w:ind w:left="221" w:right="401" w:firstLine="638"/>
        <w:jc w:val="both"/>
      </w:pPr>
      <w:r>
        <w:rPr>
          <w:rFonts w:ascii="楷体" w:eastAsia="楷体" w:hint="eastAsia"/>
        </w:rPr>
        <w:t>第四十一条 </w:t>
      </w:r>
      <w:r>
        <w:rPr/>
        <w:t>县政府部门规范性文件应同时通过山东省规章规范性文件电子监督平台向县政府法制部门进行报送。</w:t>
      </w:r>
    </w:p>
    <w:p>
      <w:pPr>
        <w:spacing w:after="0" w:line="321" w:lineRule="auto"/>
        <w:jc w:val="both"/>
        <w:sectPr>
          <w:pgSz w:w="11910" w:h="16840"/>
          <w:pgMar w:header="0" w:footer="1294" w:top="1580" w:bottom="1480" w:left="1480" w:right="1300"/>
        </w:sectPr>
      </w:pPr>
    </w:p>
    <w:p>
      <w:pPr>
        <w:pStyle w:val="BodyText"/>
        <w:tabs>
          <w:tab w:pos="2832" w:val="left" w:leader="none"/>
        </w:tabs>
        <w:spacing w:line="321" w:lineRule="auto" w:before="149"/>
        <w:ind w:left="221" w:right="401" w:firstLine="638"/>
      </w:pPr>
      <w:r>
        <w:rPr>
          <w:rFonts w:ascii="楷体" w:eastAsia="楷体" w:hint="eastAsia"/>
          <w:spacing w:val="9"/>
        </w:rPr>
        <w:t>第</w:t>
      </w:r>
      <w:r>
        <w:rPr>
          <w:rFonts w:ascii="楷体" w:eastAsia="楷体" w:hint="eastAsia"/>
          <w:spacing w:val="7"/>
        </w:rPr>
        <w:t>四</w:t>
      </w:r>
      <w:r>
        <w:rPr>
          <w:rFonts w:ascii="楷体" w:eastAsia="楷体" w:hint="eastAsia"/>
          <w:spacing w:val="9"/>
        </w:rPr>
        <w:t>十</w:t>
      </w:r>
      <w:r>
        <w:rPr>
          <w:rFonts w:ascii="楷体" w:eastAsia="楷体" w:hint="eastAsia"/>
          <w:spacing w:val="7"/>
        </w:rPr>
        <w:t>二</w:t>
      </w:r>
      <w:r>
        <w:rPr>
          <w:rFonts w:ascii="楷体" w:eastAsia="楷体" w:hint="eastAsia"/>
        </w:rPr>
        <w:t>条</w:t>
        <w:tab/>
      </w:r>
      <w:r>
        <w:rPr>
          <w:spacing w:val="9"/>
          <w:w w:val="95"/>
        </w:rPr>
        <w:t>县</w:t>
      </w:r>
      <w:r>
        <w:rPr>
          <w:spacing w:val="7"/>
          <w:w w:val="95"/>
        </w:rPr>
        <w:t>政</w:t>
      </w:r>
      <w:r>
        <w:rPr>
          <w:spacing w:val="9"/>
          <w:w w:val="95"/>
        </w:rPr>
        <w:t>府</w:t>
      </w:r>
      <w:r>
        <w:rPr>
          <w:spacing w:val="7"/>
          <w:w w:val="95"/>
        </w:rPr>
        <w:t>法</w:t>
      </w:r>
      <w:r>
        <w:rPr>
          <w:spacing w:val="9"/>
          <w:w w:val="95"/>
        </w:rPr>
        <w:t>制</w:t>
      </w:r>
      <w:r>
        <w:rPr>
          <w:spacing w:val="7"/>
          <w:w w:val="95"/>
        </w:rPr>
        <w:t>部</w:t>
      </w:r>
      <w:r>
        <w:rPr>
          <w:spacing w:val="9"/>
          <w:w w:val="95"/>
        </w:rPr>
        <w:t>门</w:t>
      </w:r>
      <w:r>
        <w:rPr>
          <w:spacing w:val="7"/>
          <w:w w:val="95"/>
        </w:rPr>
        <w:t>应</w:t>
      </w:r>
      <w:r>
        <w:rPr>
          <w:spacing w:val="9"/>
          <w:w w:val="95"/>
        </w:rPr>
        <w:t>在</w:t>
      </w:r>
      <w:r>
        <w:rPr>
          <w:spacing w:val="7"/>
          <w:w w:val="95"/>
        </w:rPr>
        <w:t>收</w:t>
      </w:r>
      <w:r>
        <w:rPr>
          <w:spacing w:val="9"/>
          <w:w w:val="95"/>
        </w:rPr>
        <w:t>到</w:t>
      </w:r>
      <w:r>
        <w:rPr>
          <w:spacing w:val="7"/>
          <w:w w:val="95"/>
        </w:rPr>
        <w:t>县</w:t>
      </w:r>
      <w:r>
        <w:rPr>
          <w:spacing w:val="9"/>
          <w:w w:val="95"/>
        </w:rPr>
        <w:t>政</w:t>
      </w:r>
      <w:r>
        <w:rPr>
          <w:spacing w:val="7"/>
          <w:w w:val="95"/>
        </w:rPr>
        <w:t>府</w:t>
      </w:r>
      <w:r>
        <w:rPr>
          <w:spacing w:val="9"/>
          <w:w w:val="95"/>
        </w:rPr>
        <w:t>部</w:t>
      </w:r>
      <w:r>
        <w:rPr>
          <w:spacing w:val="7"/>
          <w:w w:val="95"/>
        </w:rPr>
        <w:t>门</w:t>
      </w:r>
      <w:r>
        <w:rPr>
          <w:spacing w:val="9"/>
          <w:w w:val="95"/>
        </w:rPr>
        <w:t>规</w:t>
      </w:r>
      <w:r>
        <w:rPr>
          <w:w w:val="95"/>
        </w:rPr>
        <w:t>范</w:t>
      </w:r>
      <w:r>
        <w:rPr/>
        <w:t>性文件的备案材料之日起</w:t>
      </w:r>
      <w:r>
        <w:rPr>
          <w:spacing w:val="-80"/>
        </w:rPr>
        <w:t> </w:t>
      </w:r>
      <w:r>
        <w:rPr/>
        <w:t>60</w:t>
      </w:r>
      <w:r>
        <w:rPr>
          <w:spacing w:val="-81"/>
        </w:rPr>
        <w:t> </w:t>
      </w:r>
      <w:r>
        <w:rPr/>
        <w:t>日内审查完毕。</w:t>
      </w:r>
    </w:p>
    <w:p>
      <w:pPr>
        <w:pStyle w:val="BodyText"/>
        <w:tabs>
          <w:tab w:pos="2832" w:val="left" w:leader="none"/>
        </w:tabs>
        <w:spacing w:line="321" w:lineRule="auto" w:before="1"/>
        <w:ind w:left="221" w:right="401" w:firstLine="638"/>
      </w:pPr>
      <w:r>
        <w:rPr>
          <w:rFonts w:ascii="楷体" w:eastAsia="楷体" w:hint="eastAsia"/>
          <w:spacing w:val="9"/>
        </w:rPr>
        <w:t>第</w:t>
      </w:r>
      <w:r>
        <w:rPr>
          <w:rFonts w:ascii="楷体" w:eastAsia="楷体" w:hint="eastAsia"/>
          <w:spacing w:val="7"/>
        </w:rPr>
        <w:t>四</w:t>
      </w:r>
      <w:r>
        <w:rPr>
          <w:rFonts w:ascii="楷体" w:eastAsia="楷体" w:hint="eastAsia"/>
          <w:spacing w:val="9"/>
        </w:rPr>
        <w:t>十</w:t>
      </w:r>
      <w:r>
        <w:rPr>
          <w:rFonts w:ascii="楷体" w:eastAsia="楷体" w:hint="eastAsia"/>
          <w:spacing w:val="7"/>
        </w:rPr>
        <w:t>三</w:t>
      </w:r>
      <w:r>
        <w:rPr>
          <w:rFonts w:ascii="楷体" w:eastAsia="楷体" w:hint="eastAsia"/>
        </w:rPr>
        <w:t>条</w:t>
        <w:tab/>
      </w:r>
      <w:r>
        <w:rPr>
          <w:spacing w:val="9"/>
          <w:w w:val="95"/>
        </w:rPr>
        <w:t>县</w:t>
      </w:r>
      <w:r>
        <w:rPr>
          <w:spacing w:val="7"/>
          <w:w w:val="95"/>
        </w:rPr>
        <w:t>政</w:t>
      </w:r>
      <w:r>
        <w:rPr>
          <w:spacing w:val="9"/>
          <w:w w:val="95"/>
        </w:rPr>
        <w:t>府</w:t>
      </w:r>
      <w:r>
        <w:rPr>
          <w:spacing w:val="7"/>
          <w:w w:val="95"/>
        </w:rPr>
        <w:t>法</w:t>
      </w:r>
      <w:r>
        <w:rPr>
          <w:spacing w:val="9"/>
          <w:w w:val="95"/>
        </w:rPr>
        <w:t>制</w:t>
      </w:r>
      <w:r>
        <w:rPr>
          <w:spacing w:val="7"/>
          <w:w w:val="95"/>
        </w:rPr>
        <w:t>部</w:t>
      </w:r>
      <w:r>
        <w:rPr>
          <w:spacing w:val="9"/>
          <w:w w:val="95"/>
        </w:rPr>
        <w:t>门</w:t>
      </w:r>
      <w:r>
        <w:rPr>
          <w:spacing w:val="7"/>
          <w:w w:val="95"/>
        </w:rPr>
        <w:t>对</w:t>
      </w:r>
      <w:r>
        <w:rPr>
          <w:spacing w:val="9"/>
          <w:w w:val="95"/>
        </w:rPr>
        <w:t>报</w:t>
      </w:r>
      <w:r>
        <w:rPr>
          <w:spacing w:val="7"/>
          <w:w w:val="95"/>
        </w:rPr>
        <w:t>送</w:t>
      </w:r>
      <w:r>
        <w:rPr>
          <w:spacing w:val="9"/>
          <w:w w:val="95"/>
        </w:rPr>
        <w:t>备</w:t>
      </w:r>
      <w:r>
        <w:rPr>
          <w:spacing w:val="7"/>
          <w:w w:val="95"/>
        </w:rPr>
        <w:t>案</w:t>
      </w:r>
      <w:r>
        <w:rPr>
          <w:spacing w:val="9"/>
          <w:w w:val="95"/>
        </w:rPr>
        <w:t>的</w:t>
      </w:r>
      <w:r>
        <w:rPr>
          <w:spacing w:val="7"/>
          <w:w w:val="95"/>
        </w:rPr>
        <w:t>县</w:t>
      </w:r>
      <w:r>
        <w:rPr>
          <w:spacing w:val="9"/>
          <w:w w:val="95"/>
        </w:rPr>
        <w:t>政</w:t>
      </w:r>
      <w:r>
        <w:rPr>
          <w:spacing w:val="7"/>
          <w:w w:val="95"/>
        </w:rPr>
        <w:t>府</w:t>
      </w:r>
      <w:r>
        <w:rPr>
          <w:spacing w:val="9"/>
          <w:w w:val="95"/>
        </w:rPr>
        <w:t>部</w:t>
      </w:r>
      <w:r>
        <w:rPr>
          <w:w w:val="95"/>
        </w:rPr>
        <w:t>门</w:t>
      </w:r>
      <w:r>
        <w:rPr/>
        <w:t>规范性文件就下列事项进行审查：</w:t>
      </w:r>
    </w:p>
    <w:p>
      <w:pPr>
        <w:pStyle w:val="BodyText"/>
        <w:ind w:left="860"/>
      </w:pPr>
      <w:r>
        <w:rPr/>
        <w:t>（一）规范性文件的制定、发布是否符合法定程序；</w:t>
      </w:r>
    </w:p>
    <w:p>
      <w:pPr>
        <w:pStyle w:val="BodyText"/>
        <w:spacing w:line="321" w:lineRule="auto" w:before="153"/>
        <w:ind w:left="221" w:right="401" w:firstLine="638"/>
      </w:pPr>
      <w:r>
        <w:rPr/>
        <w:t>（二</w:t>
      </w:r>
      <w:r>
        <w:rPr>
          <w:spacing w:val="-46"/>
        </w:rPr>
        <w:t>）</w:t>
      </w:r>
      <w:r>
        <w:rPr>
          <w:spacing w:val="-7"/>
        </w:rPr>
        <w:t>是否超越法定权限设定行政许可、行政处罚、行政强制、行政收费等事项；</w:t>
      </w:r>
    </w:p>
    <w:p>
      <w:pPr>
        <w:pStyle w:val="BodyText"/>
        <w:spacing w:line="321" w:lineRule="auto" w:before="1"/>
        <w:ind w:left="221" w:right="399" w:firstLine="638"/>
      </w:pPr>
      <w:r>
        <w:rPr/>
        <w:t>（三</w:t>
      </w:r>
      <w:r>
        <w:rPr>
          <w:spacing w:val="-46"/>
        </w:rPr>
        <w:t>）</w:t>
      </w:r>
      <w:r>
        <w:rPr>
          <w:spacing w:val="-10"/>
        </w:rPr>
        <w:t>是否与法律、法规、上级政府规章或上级规范性文件相抵触；</w:t>
      </w:r>
    </w:p>
    <w:p>
      <w:pPr>
        <w:pStyle w:val="BodyText"/>
        <w:spacing w:line="321" w:lineRule="auto"/>
        <w:ind w:left="221" w:right="399" w:firstLine="638"/>
      </w:pPr>
      <w:r>
        <w:rPr/>
        <w:t>（四</w:t>
      </w:r>
      <w:r>
        <w:rPr>
          <w:spacing w:val="-67"/>
        </w:rPr>
        <w:t>）</w:t>
      </w:r>
      <w:r>
        <w:rPr>
          <w:spacing w:val="-6"/>
        </w:rPr>
        <w:t>县政府部门规范性文件之间，对同一事项的规定不一致，是否应当改变或者撤销一方或双方的规定；</w:t>
      </w:r>
    </w:p>
    <w:p>
      <w:pPr>
        <w:pStyle w:val="BodyText"/>
        <w:spacing w:before="1"/>
        <w:ind w:left="860"/>
      </w:pPr>
      <w:r>
        <w:rPr/>
        <w:t>（五）规范性文件的规定是否适当；</w:t>
      </w:r>
    </w:p>
    <w:p>
      <w:pPr>
        <w:pStyle w:val="BodyText"/>
        <w:spacing w:before="153"/>
        <w:ind w:left="860"/>
      </w:pPr>
      <w:r>
        <w:rPr/>
        <w:t>（六）其他需审查的事项。</w:t>
      </w:r>
    </w:p>
    <w:p>
      <w:pPr>
        <w:pStyle w:val="BodyText"/>
        <w:tabs>
          <w:tab w:pos="2779" w:val="left" w:leader="none"/>
        </w:tabs>
        <w:spacing w:line="321" w:lineRule="auto" w:before="152"/>
        <w:ind w:left="221" w:right="401" w:firstLine="638"/>
      </w:pPr>
      <w:r>
        <w:rPr>
          <w:rFonts w:ascii="楷体" w:eastAsia="楷体" w:hint="eastAsia"/>
        </w:rPr>
        <w:t>第四十四条</w:t>
        <w:tab/>
      </w:r>
      <w:r>
        <w:rPr/>
        <w:t>县政府法制部门根据审查情况</w:t>
      </w:r>
      <w:r>
        <w:rPr>
          <w:spacing w:val="-137"/>
        </w:rPr>
        <w:t>，</w:t>
      </w:r>
      <w:r>
        <w:rPr/>
        <w:t>按照下列</w:t>
      </w:r>
      <w:r>
        <w:rPr>
          <w:spacing w:val="-11"/>
        </w:rPr>
        <w:t>规</w:t>
      </w:r>
      <w:r>
        <w:rPr/>
        <w:t>定出具审查意见并反馈至报备的县政府部门：</w:t>
      </w:r>
    </w:p>
    <w:p>
      <w:pPr>
        <w:pStyle w:val="BodyText"/>
        <w:spacing w:line="321" w:lineRule="auto" w:before="1"/>
        <w:ind w:left="221" w:right="242" w:firstLine="638"/>
      </w:pPr>
      <w:r>
        <w:rPr>
          <w:w w:val="95"/>
        </w:rPr>
        <w:t>（一</w:t>
      </w:r>
      <w:r>
        <w:rPr>
          <w:spacing w:val="-147"/>
          <w:w w:val="95"/>
        </w:rPr>
        <w:t>）</w:t>
      </w:r>
      <w:r>
        <w:rPr>
          <w:spacing w:val="-13"/>
          <w:w w:val="95"/>
        </w:rPr>
        <w:t>属于规范性文件，报送材料齐全且符合法定形式的， </w:t>
      </w:r>
      <w:r>
        <w:rPr>
          <w:spacing w:val="-13"/>
        </w:rPr>
        <w:t>予以备案登记；</w:t>
      </w:r>
    </w:p>
    <w:p>
      <w:pPr>
        <w:pStyle w:val="BodyText"/>
        <w:spacing w:line="321" w:lineRule="auto" w:before="1"/>
        <w:ind w:left="221" w:right="238" w:firstLine="638"/>
      </w:pPr>
      <w:r>
        <w:rPr/>
        <w:t>（二</w:t>
      </w:r>
      <w:r>
        <w:rPr>
          <w:spacing w:val="-67"/>
        </w:rPr>
        <w:t>）</w:t>
      </w:r>
      <w:r>
        <w:rPr>
          <w:spacing w:val="-5"/>
        </w:rPr>
        <w:t>属于规范性文件且未发现违法情形，但报送材料不</w:t>
      </w:r>
      <w:r>
        <w:rPr>
          <w:spacing w:val="-12"/>
        </w:rPr>
        <w:t>齐全、不符合法定形式或在制定技术规范方面存在瑕疵的，提</w:t>
      </w:r>
      <w:r>
        <w:rPr>
          <w:spacing w:val="-21"/>
        </w:rPr>
        <w:t>出相关改进、补充建议，暂缓办理备案登记，经制定机关修改、补充后，符合规定的，予以备案登记；</w:t>
      </w:r>
    </w:p>
    <w:p>
      <w:pPr>
        <w:pStyle w:val="BodyText"/>
        <w:spacing w:before="1"/>
        <w:ind w:left="860"/>
      </w:pPr>
      <w:r>
        <w:rPr/>
        <w:t>（三）规范性文件存在下列情形之一的，不予备案登记，</w:t>
      </w:r>
    </w:p>
    <w:p>
      <w:pPr>
        <w:spacing w:after="0"/>
        <w:sectPr>
          <w:pgSz w:w="11910" w:h="16840"/>
          <w:pgMar w:header="0" w:footer="1294" w:top="1580" w:bottom="1480" w:left="1480" w:right="1300"/>
        </w:sectPr>
      </w:pPr>
    </w:p>
    <w:p>
      <w:pPr>
        <w:pStyle w:val="BodyText"/>
        <w:spacing w:before="10"/>
        <w:rPr>
          <w:sz w:val="7"/>
        </w:rPr>
      </w:pPr>
    </w:p>
    <w:p>
      <w:pPr>
        <w:pStyle w:val="BodyText"/>
        <w:spacing w:line="321" w:lineRule="auto" w:before="41"/>
        <w:ind w:left="221" w:right="399"/>
      </w:pPr>
      <w:r>
        <w:rPr>
          <w:spacing w:val="-11"/>
          <w:w w:val="95"/>
        </w:rPr>
        <w:t>并要求制定机关限期改正、废止，并将办理结果书面报告县政 </w:t>
      </w:r>
      <w:r>
        <w:rPr>
          <w:spacing w:val="-11"/>
        </w:rPr>
        <w:t>府法制部门：</w:t>
      </w:r>
    </w:p>
    <w:p>
      <w:pPr>
        <w:pStyle w:val="ListParagraph"/>
        <w:numPr>
          <w:ilvl w:val="0"/>
          <w:numId w:val="1"/>
        </w:numPr>
        <w:tabs>
          <w:tab w:pos="1199" w:val="left" w:leader="none"/>
        </w:tabs>
        <w:spacing w:line="240" w:lineRule="auto" w:before="1" w:after="0"/>
        <w:ind w:left="1198" w:right="0" w:hanging="339"/>
        <w:jc w:val="left"/>
        <w:rPr>
          <w:sz w:val="32"/>
        </w:rPr>
      </w:pPr>
      <w:r>
        <w:rPr>
          <w:spacing w:val="-19"/>
          <w:w w:val="95"/>
          <w:sz w:val="32"/>
        </w:rPr>
        <w:t>超越制定机关法定职权或法律、法规、规章授权范围的；</w:t>
      </w:r>
    </w:p>
    <w:p>
      <w:pPr>
        <w:pStyle w:val="ListParagraph"/>
        <w:numPr>
          <w:ilvl w:val="0"/>
          <w:numId w:val="1"/>
        </w:numPr>
        <w:tabs>
          <w:tab w:pos="1220" w:val="left" w:leader="none"/>
        </w:tabs>
        <w:spacing w:line="240" w:lineRule="auto" w:before="152" w:after="0"/>
        <w:ind w:left="1220" w:right="0" w:hanging="360"/>
        <w:jc w:val="left"/>
        <w:rPr>
          <w:sz w:val="32"/>
        </w:rPr>
      </w:pPr>
      <w:r>
        <w:rPr>
          <w:w w:val="95"/>
          <w:sz w:val="32"/>
        </w:rPr>
        <w:t>与法律、法规、规章或国家、省、市文件相抵触的；</w:t>
      </w:r>
    </w:p>
    <w:p>
      <w:pPr>
        <w:pStyle w:val="ListParagraph"/>
        <w:numPr>
          <w:ilvl w:val="0"/>
          <w:numId w:val="1"/>
        </w:numPr>
        <w:tabs>
          <w:tab w:pos="1218" w:val="left" w:leader="none"/>
        </w:tabs>
        <w:spacing w:line="240" w:lineRule="auto" w:before="153" w:after="0"/>
        <w:ind w:left="1217" w:right="0" w:hanging="358"/>
        <w:jc w:val="left"/>
        <w:rPr>
          <w:sz w:val="32"/>
        </w:rPr>
      </w:pPr>
      <w:r>
        <w:rPr>
          <w:sz w:val="32"/>
        </w:rPr>
        <w:t>违反法定程序的；</w:t>
      </w:r>
    </w:p>
    <w:p>
      <w:pPr>
        <w:pStyle w:val="ListParagraph"/>
        <w:numPr>
          <w:ilvl w:val="0"/>
          <w:numId w:val="1"/>
        </w:numPr>
        <w:tabs>
          <w:tab w:pos="1228" w:val="left" w:leader="none"/>
        </w:tabs>
        <w:spacing w:line="240" w:lineRule="auto" w:before="152" w:after="0"/>
        <w:ind w:left="1227" w:right="0" w:hanging="368"/>
        <w:jc w:val="left"/>
        <w:rPr>
          <w:sz w:val="32"/>
        </w:rPr>
      </w:pPr>
      <w:r>
        <w:rPr>
          <w:sz w:val="32"/>
        </w:rPr>
        <w:t>其他违反相关规定足以影响该规范性文件效力的情</w:t>
      </w:r>
    </w:p>
    <w:p>
      <w:pPr>
        <w:pStyle w:val="BodyText"/>
        <w:rPr>
          <w:sz w:val="8"/>
        </w:rPr>
      </w:pPr>
    </w:p>
    <w:p>
      <w:pPr>
        <w:pStyle w:val="BodyText"/>
        <w:spacing w:before="41"/>
        <w:ind w:left="221"/>
      </w:pPr>
      <w:r>
        <w:rPr/>
        <w:t>形。</w:t>
      </w:r>
    </w:p>
    <w:p>
      <w:pPr>
        <w:pStyle w:val="BodyText"/>
        <w:tabs>
          <w:tab w:pos="2779" w:val="left" w:leader="none"/>
        </w:tabs>
        <w:spacing w:before="153"/>
        <w:ind w:left="860"/>
      </w:pPr>
      <w:r>
        <w:rPr>
          <w:rFonts w:ascii="楷体" w:eastAsia="楷体" w:hint="eastAsia"/>
        </w:rPr>
        <w:t>第四十五条</w:t>
        <w:tab/>
      </w:r>
      <w:r>
        <w:rPr/>
        <w:t>违反规范性文件备案审查工作的有关规定，</w:t>
      </w:r>
    </w:p>
    <w:p>
      <w:pPr>
        <w:pStyle w:val="BodyText"/>
        <w:spacing w:before="13"/>
        <w:rPr>
          <w:sz w:val="7"/>
        </w:rPr>
      </w:pPr>
    </w:p>
    <w:p>
      <w:pPr>
        <w:pStyle w:val="BodyText"/>
        <w:spacing w:line="321" w:lineRule="auto" w:before="41"/>
        <w:ind w:left="221" w:right="399"/>
        <w:jc w:val="both"/>
      </w:pPr>
      <w:r>
        <w:rPr>
          <w:spacing w:val="-9"/>
          <w:w w:val="95"/>
        </w:rPr>
        <w:t>不按要求报送规范性文件、不执行备案审查处理决定的，限期 </w:t>
      </w:r>
      <w:r>
        <w:rPr>
          <w:spacing w:val="-14"/>
          <w:w w:val="95"/>
        </w:rPr>
        <w:t>改正；逾期未改的，给予通报，并建议有关部门追究相关人员 </w:t>
      </w:r>
      <w:r>
        <w:rPr>
          <w:spacing w:val="-14"/>
        </w:rPr>
        <w:t>的责任。</w:t>
      </w:r>
    </w:p>
    <w:p>
      <w:pPr>
        <w:pStyle w:val="BodyText"/>
        <w:spacing w:line="321" w:lineRule="auto" w:before="1"/>
        <w:ind w:left="221" w:right="401" w:firstLine="638"/>
        <w:jc w:val="both"/>
      </w:pPr>
      <w:r>
        <w:rPr>
          <w:rFonts w:ascii="楷体" w:eastAsia="楷体" w:hint="eastAsia"/>
        </w:rPr>
        <w:t>第四十六条 </w:t>
      </w:r>
      <w:r>
        <w:rPr/>
        <w:t>县政府法制部门应按季度公布备案登记的规范性文件目录，定期通报规范性文件的备案审查情况。</w:t>
      </w:r>
    </w:p>
    <w:p>
      <w:pPr>
        <w:pStyle w:val="BodyText"/>
        <w:spacing w:line="321" w:lineRule="auto" w:before="1"/>
        <w:ind w:left="221" w:right="399" w:firstLine="638"/>
        <w:jc w:val="both"/>
      </w:pPr>
      <w:r>
        <w:rPr>
          <w:rFonts w:ascii="楷体" w:eastAsia="楷体" w:hint="eastAsia"/>
          <w:spacing w:val="25"/>
        </w:rPr>
        <w:t>第四十七条 </w:t>
      </w:r>
      <w:r>
        <w:rPr>
          <w:spacing w:val="-8"/>
        </w:rPr>
        <w:t>县政府规范性文件的解释权属于县政府，具</w:t>
      </w:r>
      <w:r>
        <w:rPr>
          <w:spacing w:val="-14"/>
        </w:rPr>
        <w:t>体解释由县政府法制部门会同有关部门提出意见，报县政府批</w:t>
      </w:r>
      <w:r>
        <w:rPr>
          <w:spacing w:val="-15"/>
          <w:w w:val="95"/>
        </w:rPr>
        <w:t>准后作出。县政府规范性文件的解释同县政府规范性文件具有 </w:t>
      </w:r>
      <w:r>
        <w:rPr>
          <w:spacing w:val="-15"/>
        </w:rPr>
        <w:t>同等效力。县政府部门负责本部门规范性文件的解释工作。</w:t>
      </w:r>
    </w:p>
    <w:p>
      <w:pPr>
        <w:pStyle w:val="BodyText"/>
        <w:spacing w:line="321" w:lineRule="auto" w:before="1"/>
        <w:ind w:left="221" w:right="399" w:firstLine="638"/>
        <w:jc w:val="both"/>
      </w:pPr>
      <w:r>
        <w:rPr>
          <w:rFonts w:ascii="楷体" w:eastAsia="楷体" w:hint="eastAsia"/>
          <w:spacing w:val="25"/>
        </w:rPr>
        <w:t>第四十八条 </w:t>
      </w:r>
      <w:r>
        <w:rPr>
          <w:spacing w:val="-13"/>
        </w:rPr>
        <w:t>公民、法人和其他组织认为规范性文件违法</w:t>
      </w:r>
      <w:r>
        <w:rPr>
          <w:spacing w:val="-13"/>
          <w:w w:val="95"/>
        </w:rPr>
        <w:t>的，可向制定机关或本级政府法制部门提出书面审查申请。受 </w:t>
      </w:r>
      <w:r>
        <w:rPr>
          <w:spacing w:val="-12"/>
        </w:rPr>
        <w:t>理部门自收到申请之日起 </w:t>
      </w:r>
      <w:r>
        <w:rPr/>
        <w:t>60</w:t>
      </w:r>
      <w:r>
        <w:rPr>
          <w:spacing w:val="-8"/>
        </w:rPr>
        <w:t> 日内作出处理；情况复杂，不能</w:t>
      </w:r>
      <w:r>
        <w:rPr>
          <w:spacing w:val="-15"/>
          <w:w w:val="95"/>
        </w:rPr>
        <w:t>在规定期限内处理完毕的，经审查机关负责人批准，可适当延 </w:t>
      </w:r>
      <w:r>
        <w:rPr>
          <w:spacing w:val="-21"/>
        </w:rPr>
        <w:t>长，但延长期限最多不超过 </w:t>
      </w:r>
      <w:r>
        <w:rPr/>
        <w:t>30</w:t>
      </w:r>
      <w:r>
        <w:rPr>
          <w:spacing w:val="-28"/>
        </w:rPr>
        <w:t> 日。</w:t>
      </w:r>
    </w:p>
    <w:p>
      <w:pPr>
        <w:spacing w:after="0" w:line="321" w:lineRule="auto"/>
        <w:jc w:val="both"/>
        <w:sectPr>
          <w:pgSz w:w="11910" w:h="16840"/>
          <w:pgMar w:header="0" w:footer="1294" w:top="1580" w:bottom="1480" w:left="1480" w:right="1300"/>
        </w:sectPr>
      </w:pPr>
    </w:p>
    <w:p>
      <w:pPr>
        <w:pStyle w:val="BodyText"/>
        <w:tabs>
          <w:tab w:pos="2779" w:val="left" w:leader="none"/>
        </w:tabs>
        <w:spacing w:line="321" w:lineRule="auto" w:before="149"/>
        <w:ind w:left="221" w:right="584" w:firstLine="638"/>
      </w:pPr>
      <w:r>
        <w:rPr>
          <w:rFonts w:ascii="楷体" w:eastAsia="楷体" w:hint="eastAsia"/>
        </w:rPr>
        <w:t>第四十九条</w:t>
        <w:tab/>
      </w:r>
      <w:r>
        <w:rPr/>
        <w:t>各部门规范性文件的备案审查工作按照</w:t>
      </w:r>
      <w:r>
        <w:rPr>
          <w:spacing w:val="-12"/>
        </w:rPr>
        <w:t>本</w:t>
      </w:r>
      <w:r>
        <w:rPr/>
        <w:t>章上述规定办理。</w:t>
      </w:r>
    </w:p>
    <w:p>
      <w:pPr>
        <w:pStyle w:val="BodyText"/>
        <w:spacing w:before="13"/>
        <w:rPr>
          <w:sz w:val="42"/>
        </w:rPr>
      </w:pPr>
    </w:p>
    <w:p>
      <w:pPr>
        <w:pStyle w:val="BodyText"/>
        <w:tabs>
          <w:tab w:pos="1281" w:val="left" w:leader="none"/>
        </w:tabs>
        <w:ind w:right="180"/>
        <w:jc w:val="center"/>
        <w:rPr>
          <w:rFonts w:ascii="黑体" w:eastAsia="黑体" w:hint="eastAsia"/>
        </w:rPr>
      </w:pPr>
      <w:r>
        <w:rPr>
          <w:rFonts w:ascii="黑体" w:eastAsia="黑体" w:hint="eastAsia"/>
        </w:rPr>
        <w:t>第八章</w:t>
        <w:tab/>
        <w:t>实施与评估</w:t>
      </w:r>
    </w:p>
    <w:p>
      <w:pPr>
        <w:pStyle w:val="BodyText"/>
        <w:rPr>
          <w:rFonts w:ascii="黑体"/>
        </w:rPr>
      </w:pPr>
    </w:p>
    <w:p>
      <w:pPr>
        <w:pStyle w:val="BodyText"/>
        <w:spacing w:before="9"/>
        <w:rPr>
          <w:rFonts w:ascii="黑体"/>
          <w:sz w:val="29"/>
        </w:rPr>
      </w:pPr>
    </w:p>
    <w:p>
      <w:pPr>
        <w:pStyle w:val="BodyText"/>
        <w:tabs>
          <w:tab w:pos="2460" w:val="left" w:leader="none"/>
        </w:tabs>
        <w:spacing w:line="321" w:lineRule="auto"/>
        <w:ind w:left="221" w:right="394" w:firstLine="638"/>
      </w:pPr>
      <w:r>
        <w:rPr>
          <w:rFonts w:ascii="楷体" w:hAnsi="楷体" w:eastAsia="楷体" w:hint="eastAsia"/>
        </w:rPr>
        <w:t>第五十条</w:t>
        <w:tab/>
      </w:r>
      <w:r>
        <w:rPr/>
        <w:t>规范性文件应载明有效期和施行日期</w:t>
      </w:r>
      <w:r>
        <w:rPr>
          <w:spacing w:val="-135"/>
        </w:rPr>
        <w:t>，</w:t>
      </w:r>
      <w:r>
        <w:rPr/>
        <w:t>有效期为</w:t>
      </w:r>
      <w:r>
        <w:rPr>
          <w:spacing w:val="-85"/>
        </w:rPr>
        <w:t> </w:t>
      </w:r>
      <w:r>
        <w:rPr/>
        <w:t>3</w:t>
      </w:r>
      <w:r>
        <w:rPr>
          <w:spacing w:val="-82"/>
        </w:rPr>
        <w:t> </w:t>
      </w:r>
      <w:r>
        <w:rPr/>
        <w:t>年至</w:t>
      </w:r>
      <w:r>
        <w:rPr>
          <w:spacing w:val="-83"/>
        </w:rPr>
        <w:t> </w:t>
      </w:r>
      <w:r>
        <w:rPr/>
        <w:t>5</w:t>
      </w:r>
      <w:r>
        <w:rPr>
          <w:spacing w:val="-84"/>
        </w:rPr>
        <w:t> </w:t>
      </w:r>
      <w:r>
        <w:rPr/>
        <w:t>年</w:t>
      </w:r>
      <w:r>
        <w:rPr>
          <w:spacing w:val="-15"/>
        </w:rPr>
        <w:t>；</w:t>
      </w:r>
      <w:r>
        <w:rPr/>
        <w:t>标</w:t>
      </w:r>
      <w:r>
        <w:rPr>
          <w:spacing w:val="-12"/>
        </w:rPr>
        <w:t>注</w:t>
      </w:r>
      <w:r>
        <w:rPr/>
        <w:t>“暂行</w:t>
      </w:r>
      <w:r>
        <w:rPr>
          <w:spacing w:val="-15"/>
        </w:rPr>
        <w:t>”</w:t>
      </w:r>
      <w:r>
        <w:rPr>
          <w:spacing w:val="-29"/>
        </w:rPr>
        <w:t>、</w:t>
      </w:r>
      <w:r>
        <w:rPr/>
        <w:t>“试行</w:t>
      </w:r>
      <w:r>
        <w:rPr>
          <w:spacing w:val="-15"/>
        </w:rPr>
        <w:t>”</w:t>
      </w:r>
      <w:r>
        <w:rPr/>
        <w:t>的规范性文件</w:t>
      </w:r>
      <w:r>
        <w:rPr>
          <w:spacing w:val="-15"/>
        </w:rPr>
        <w:t>，</w:t>
      </w:r>
      <w:r>
        <w:rPr/>
        <w:t>有效</w:t>
      </w:r>
    </w:p>
    <w:p>
      <w:pPr>
        <w:pStyle w:val="BodyText"/>
        <w:spacing w:before="1"/>
        <w:ind w:left="221"/>
      </w:pPr>
      <w:r>
        <w:rPr>
          <w:spacing w:val="-26"/>
        </w:rPr>
        <w:t>期为 </w:t>
      </w:r>
      <w:r>
        <w:rPr/>
        <w:t>1</w:t>
      </w:r>
      <w:r>
        <w:rPr>
          <w:spacing w:val="-39"/>
        </w:rPr>
        <w:t> 年至 </w:t>
      </w:r>
      <w:r>
        <w:rPr/>
        <w:t>2</w:t>
      </w:r>
      <w:r>
        <w:rPr>
          <w:spacing w:val="-6"/>
        </w:rPr>
        <w:t> 年。规范性文件应载明“本规定自</w:t>
      </w:r>
      <w:r>
        <w:rPr>
          <w:rFonts w:ascii="Arial" w:hAnsi="Arial" w:eastAsia="Arial"/>
        </w:rPr>
        <w:t>××××</w:t>
      </w:r>
      <w:r>
        <w:rPr/>
        <w:t>年</w:t>
      </w:r>
      <w:r>
        <w:rPr>
          <w:rFonts w:ascii="Arial" w:hAnsi="Arial" w:eastAsia="Arial"/>
        </w:rPr>
        <w:t>××</w:t>
      </w:r>
      <w:r>
        <w:rPr/>
        <w:t>月</w:t>
      </w:r>
    </w:p>
    <w:p>
      <w:pPr>
        <w:pStyle w:val="BodyText"/>
        <w:spacing w:line="321" w:lineRule="auto" w:before="152"/>
        <w:ind w:left="221" w:right="308"/>
      </w:pPr>
      <w:r>
        <w:rPr>
          <w:rFonts w:ascii="Arial" w:hAnsi="Arial" w:eastAsia="Arial"/>
        </w:rPr>
        <w:t>××</w:t>
      </w:r>
      <w:r>
        <w:rPr/>
        <w:t>日起施行，有效期至</w:t>
      </w:r>
      <w:r>
        <w:rPr>
          <w:rFonts w:ascii="Arial" w:hAnsi="Arial" w:eastAsia="Arial"/>
        </w:rPr>
        <w:t>××××</w:t>
      </w:r>
      <w:r>
        <w:rPr/>
        <w:t>年</w:t>
      </w:r>
      <w:r>
        <w:rPr>
          <w:rFonts w:ascii="Arial" w:hAnsi="Arial" w:eastAsia="Arial"/>
        </w:rPr>
        <w:t>××</w:t>
      </w:r>
      <w:r>
        <w:rPr/>
        <w:t>月</w:t>
      </w:r>
      <w:r>
        <w:rPr>
          <w:rFonts w:ascii="Arial" w:hAnsi="Arial" w:eastAsia="Arial"/>
        </w:rPr>
        <w:t>××</w:t>
      </w:r>
      <w:r>
        <w:rPr/>
        <w:t>日”。有效期届满的， 规范性文件自动失效。</w:t>
      </w:r>
    </w:p>
    <w:p>
      <w:pPr>
        <w:pStyle w:val="BodyText"/>
        <w:spacing w:line="321" w:lineRule="auto" w:before="1"/>
        <w:ind w:left="221" w:right="266" w:firstLine="638"/>
      </w:pPr>
      <w:r>
        <w:rPr>
          <w:spacing w:val="-4"/>
        </w:rPr>
        <w:t>规范性文件施行日期与公布日期的间隔不得少于 </w:t>
      </w:r>
      <w:r>
        <w:rPr/>
        <w:t>30</w:t>
      </w:r>
      <w:r>
        <w:rPr>
          <w:spacing w:val="-26"/>
        </w:rPr>
        <w:t> 日， </w:t>
      </w:r>
      <w:r>
        <w:rPr>
          <w:spacing w:val="-25"/>
        </w:rPr>
        <w:t>但规范性文件公布后不立即施行将影响法律、法规、规章、上</w:t>
      </w:r>
      <w:r>
        <w:rPr>
          <w:spacing w:val="-19"/>
        </w:rPr>
        <w:t>级规范性文件执行，或不利于保障国家安全、公共利益的，可自公布之日起施行。规范性文件不溯及既往，但法律、法规、</w:t>
      </w:r>
      <w:r>
        <w:rPr/>
        <w:t>规章另有规定的除外。</w:t>
      </w:r>
    </w:p>
    <w:p>
      <w:pPr>
        <w:pStyle w:val="BodyText"/>
        <w:tabs>
          <w:tab w:pos="2832" w:val="left" w:leader="none"/>
        </w:tabs>
        <w:spacing w:line="321" w:lineRule="auto" w:before="2"/>
        <w:ind w:left="221" w:right="266" w:firstLine="638"/>
      </w:pPr>
      <w:r>
        <w:rPr>
          <w:rFonts w:ascii="楷体" w:eastAsia="楷体" w:hint="eastAsia"/>
          <w:spacing w:val="9"/>
        </w:rPr>
        <w:t>第</w:t>
      </w:r>
      <w:r>
        <w:rPr>
          <w:rFonts w:ascii="楷体" w:eastAsia="楷体" w:hint="eastAsia"/>
          <w:spacing w:val="7"/>
        </w:rPr>
        <w:t>五</w:t>
      </w:r>
      <w:r>
        <w:rPr>
          <w:rFonts w:ascii="楷体" w:eastAsia="楷体" w:hint="eastAsia"/>
          <w:spacing w:val="9"/>
        </w:rPr>
        <w:t>十</w:t>
      </w:r>
      <w:r>
        <w:rPr>
          <w:rFonts w:ascii="楷体" w:eastAsia="楷体" w:hint="eastAsia"/>
          <w:spacing w:val="7"/>
        </w:rPr>
        <w:t>一</w:t>
      </w:r>
      <w:r>
        <w:rPr>
          <w:rFonts w:ascii="楷体" w:eastAsia="楷体" w:hint="eastAsia"/>
        </w:rPr>
        <w:t>条</w:t>
        <w:tab/>
      </w:r>
      <w:r>
        <w:rPr>
          <w:spacing w:val="9"/>
        </w:rPr>
        <w:t>县</w:t>
      </w:r>
      <w:r>
        <w:rPr>
          <w:spacing w:val="7"/>
        </w:rPr>
        <w:t>政</w:t>
      </w:r>
      <w:r>
        <w:rPr>
          <w:spacing w:val="9"/>
        </w:rPr>
        <w:t>府</w:t>
      </w:r>
      <w:r>
        <w:rPr>
          <w:spacing w:val="7"/>
        </w:rPr>
        <w:t>建</w:t>
      </w:r>
      <w:r>
        <w:rPr>
          <w:spacing w:val="9"/>
        </w:rPr>
        <w:t>立</w:t>
      </w:r>
      <w:r>
        <w:rPr>
          <w:spacing w:val="7"/>
        </w:rPr>
        <w:t>规</w:t>
      </w:r>
      <w:r>
        <w:rPr>
          <w:spacing w:val="9"/>
        </w:rPr>
        <w:t>范</w:t>
      </w:r>
      <w:r>
        <w:rPr>
          <w:spacing w:val="7"/>
        </w:rPr>
        <w:t>性</w:t>
      </w:r>
      <w:r>
        <w:rPr>
          <w:spacing w:val="9"/>
        </w:rPr>
        <w:t>文</w:t>
      </w:r>
      <w:r>
        <w:rPr>
          <w:spacing w:val="7"/>
        </w:rPr>
        <w:t>件</w:t>
      </w:r>
      <w:r>
        <w:rPr>
          <w:spacing w:val="9"/>
        </w:rPr>
        <w:t>实</w:t>
      </w:r>
      <w:r>
        <w:rPr>
          <w:spacing w:val="7"/>
        </w:rPr>
        <w:t>施</w:t>
      </w:r>
      <w:r>
        <w:rPr>
          <w:spacing w:val="9"/>
        </w:rPr>
        <w:t>情</w:t>
      </w:r>
      <w:r>
        <w:rPr>
          <w:spacing w:val="7"/>
        </w:rPr>
        <w:t>况</w:t>
      </w:r>
      <w:r>
        <w:rPr>
          <w:spacing w:val="9"/>
        </w:rPr>
        <w:t>评</w:t>
      </w:r>
      <w:r>
        <w:rPr>
          <w:spacing w:val="7"/>
        </w:rPr>
        <w:t>估</w:t>
      </w:r>
      <w:r>
        <w:rPr>
          <w:spacing w:val="9"/>
        </w:rPr>
        <w:t>报</w:t>
      </w:r>
      <w:r>
        <w:rPr/>
        <w:t>告制度</w:t>
      </w:r>
      <w:r>
        <w:rPr>
          <w:spacing w:val="-67"/>
        </w:rPr>
        <w:t>。</w:t>
      </w:r>
      <w:r>
        <w:rPr/>
        <w:t>县政府法制部门可根据实际需要</w:t>
      </w:r>
      <w:r>
        <w:rPr>
          <w:spacing w:val="-67"/>
        </w:rPr>
        <w:t>，</w:t>
      </w:r>
      <w:r>
        <w:rPr/>
        <w:t>对县政府规范性文件进行评估。县政府规范性文件在有效期届满后需继续实施的</w:t>
      </w:r>
      <w:r>
        <w:rPr>
          <w:spacing w:val="-11"/>
        </w:rPr>
        <w:t>， </w:t>
      </w:r>
      <w:r>
        <w:rPr/>
        <w:t>应在该文件有效期届满前</w:t>
      </w:r>
      <w:r>
        <w:rPr>
          <w:spacing w:val="-80"/>
        </w:rPr>
        <w:t> </w:t>
      </w:r>
      <w:r>
        <w:rPr/>
        <w:t>6</w:t>
      </w:r>
      <w:r>
        <w:rPr>
          <w:spacing w:val="-80"/>
        </w:rPr>
        <w:t> </w:t>
      </w:r>
      <w:r>
        <w:rPr/>
        <w:t>个月内进行评估。</w:t>
      </w:r>
    </w:p>
    <w:p>
      <w:pPr>
        <w:pStyle w:val="BodyText"/>
        <w:spacing w:line="321" w:lineRule="auto" w:before="1"/>
        <w:ind w:left="221" w:right="401" w:firstLine="638"/>
        <w:jc w:val="both"/>
      </w:pPr>
      <w:r>
        <w:rPr>
          <w:rFonts w:ascii="楷体" w:eastAsia="楷体" w:hint="eastAsia"/>
          <w:spacing w:val="4"/>
        </w:rPr>
        <w:t>第五十二条 </w:t>
      </w:r>
      <w:r>
        <w:rPr>
          <w:spacing w:val="6"/>
        </w:rPr>
        <w:t>县政府规范性文件评估可由县政府法制部</w:t>
      </w:r>
      <w:r>
        <w:rPr>
          <w:spacing w:val="-10"/>
          <w:w w:val="95"/>
        </w:rPr>
        <w:t>门组织进行，也可委托其他机构具体承担，县政府规范性文件 </w:t>
      </w:r>
      <w:r>
        <w:rPr>
          <w:spacing w:val="-10"/>
        </w:rPr>
        <w:t>起草部门配合做好评估工作。</w:t>
      </w:r>
    </w:p>
    <w:p>
      <w:pPr>
        <w:spacing w:after="0" w:line="321" w:lineRule="auto"/>
        <w:jc w:val="both"/>
        <w:sectPr>
          <w:pgSz w:w="11910" w:h="16840"/>
          <w:pgMar w:header="0" w:footer="1294" w:top="1580" w:bottom="1480" w:left="1480" w:right="1300"/>
        </w:sectPr>
      </w:pPr>
    </w:p>
    <w:p>
      <w:pPr>
        <w:pStyle w:val="BodyText"/>
        <w:spacing w:line="321" w:lineRule="auto" w:before="149"/>
        <w:ind w:left="221" w:right="399" w:firstLine="638"/>
        <w:jc w:val="both"/>
      </w:pPr>
      <w:r>
        <w:rPr>
          <w:rFonts w:ascii="楷体" w:eastAsia="楷体" w:hint="eastAsia"/>
          <w:spacing w:val="4"/>
        </w:rPr>
        <w:t>第五十三条 </w:t>
      </w:r>
      <w:r>
        <w:rPr>
          <w:spacing w:val="6"/>
        </w:rPr>
        <w:t>评估部门或机构对县政府规范性文件完成</w:t>
      </w:r>
      <w:r>
        <w:rPr>
          <w:spacing w:val="-7"/>
          <w:w w:val="95"/>
        </w:rPr>
        <w:t>评估后应出具评估报告，评估情况由县政府法制部门向县政府 </w:t>
      </w:r>
      <w:r>
        <w:rPr>
          <w:spacing w:val="-13"/>
          <w:w w:val="95"/>
        </w:rPr>
        <w:t>汇报，提出县政府规范性文件是否继续实施或修改、废止的建 </w:t>
      </w:r>
      <w:r>
        <w:rPr>
          <w:spacing w:val="-13"/>
        </w:rPr>
        <w:t>议。</w:t>
      </w:r>
    </w:p>
    <w:p>
      <w:pPr>
        <w:pStyle w:val="BodyText"/>
        <w:spacing w:line="321" w:lineRule="auto" w:before="1"/>
        <w:ind w:left="221" w:right="401" w:firstLine="638"/>
        <w:jc w:val="both"/>
      </w:pPr>
      <w:r>
        <w:rPr>
          <w:rFonts w:ascii="楷体" w:eastAsia="楷体" w:hint="eastAsia"/>
          <w:spacing w:val="4"/>
        </w:rPr>
        <w:t>第五十四条 </w:t>
      </w:r>
      <w:r>
        <w:rPr>
          <w:spacing w:val="6"/>
        </w:rPr>
        <w:t>县政府部门应按照县政府规范性文件的评</w:t>
      </w:r>
      <w:r>
        <w:rPr>
          <w:spacing w:val="-2"/>
          <w:w w:val="95"/>
        </w:rPr>
        <w:t>估要求做好本部门规范性文件的评估工作，并向县政府法制部 </w:t>
      </w:r>
      <w:r>
        <w:rPr>
          <w:spacing w:val="-2"/>
        </w:rPr>
        <w:t>门报送评估报告。</w:t>
      </w:r>
    </w:p>
    <w:p>
      <w:pPr>
        <w:pStyle w:val="BodyText"/>
        <w:tabs>
          <w:tab w:pos="1281" w:val="left" w:leader="none"/>
        </w:tabs>
        <w:spacing w:before="2"/>
        <w:ind w:right="180"/>
        <w:jc w:val="center"/>
        <w:rPr>
          <w:rFonts w:ascii="黑体" w:eastAsia="黑体" w:hint="eastAsia"/>
        </w:rPr>
      </w:pPr>
      <w:r>
        <w:rPr>
          <w:rFonts w:ascii="黑体" w:eastAsia="黑体" w:hint="eastAsia"/>
        </w:rPr>
        <w:t>第九章</w:t>
        <w:tab/>
        <w:t>清理与汇编</w:t>
      </w:r>
    </w:p>
    <w:p>
      <w:pPr>
        <w:pStyle w:val="BodyText"/>
        <w:rPr>
          <w:rFonts w:ascii="黑体"/>
        </w:rPr>
      </w:pPr>
    </w:p>
    <w:p>
      <w:pPr>
        <w:pStyle w:val="BodyText"/>
        <w:spacing w:before="8"/>
        <w:rPr>
          <w:rFonts w:ascii="黑体"/>
          <w:sz w:val="29"/>
        </w:rPr>
      </w:pPr>
    </w:p>
    <w:p>
      <w:pPr>
        <w:pStyle w:val="BodyText"/>
        <w:spacing w:line="321" w:lineRule="auto"/>
        <w:ind w:left="221" w:right="399" w:firstLine="638"/>
        <w:jc w:val="both"/>
      </w:pPr>
      <w:r>
        <w:rPr>
          <w:rFonts w:ascii="楷体" w:eastAsia="楷体" w:hint="eastAsia"/>
          <w:spacing w:val="24"/>
        </w:rPr>
        <w:t>第五十五条 </w:t>
      </w:r>
      <w:r>
        <w:rPr>
          <w:spacing w:val="-11"/>
        </w:rPr>
        <w:t>县政府每隔两年或按国家、省、市要求对规</w:t>
      </w:r>
      <w:r>
        <w:rPr>
          <w:spacing w:val="-16"/>
          <w:w w:val="95"/>
        </w:rPr>
        <w:t>范性文件进行清理，需修改或废止的应及时修改或废止。县政 </w:t>
      </w:r>
      <w:r>
        <w:rPr>
          <w:spacing w:val="-21"/>
          <w:w w:val="95"/>
        </w:rPr>
        <w:t>府法制部门制定县政府规范性文件清理方案，报县政府批准后 </w:t>
      </w:r>
      <w:r>
        <w:rPr>
          <w:spacing w:val="-21"/>
        </w:rPr>
        <w:t>组织实施。</w:t>
      </w:r>
    </w:p>
    <w:p>
      <w:pPr>
        <w:pStyle w:val="BodyText"/>
        <w:spacing w:line="321" w:lineRule="auto" w:before="1"/>
        <w:ind w:left="221" w:right="401" w:firstLine="638"/>
      </w:pPr>
      <w:r>
        <w:rPr>
          <w:spacing w:val="6"/>
          <w:w w:val="95"/>
        </w:rPr>
        <w:t>县政府部门按照县政府的有关要求做好有关规范性文件 </w:t>
      </w:r>
      <w:r>
        <w:rPr>
          <w:spacing w:val="6"/>
        </w:rPr>
        <w:t>的清理工作。</w:t>
      </w:r>
    </w:p>
    <w:p>
      <w:pPr>
        <w:pStyle w:val="BodyText"/>
        <w:tabs>
          <w:tab w:pos="2779" w:val="left" w:leader="none"/>
        </w:tabs>
        <w:spacing w:before="1"/>
        <w:ind w:left="860"/>
      </w:pPr>
      <w:r>
        <w:rPr>
          <w:rFonts w:ascii="楷体" w:eastAsia="楷体" w:hint="eastAsia"/>
        </w:rPr>
        <w:t>第五十六条</w:t>
        <w:tab/>
      </w:r>
      <w:r>
        <w:rPr/>
        <w:t>有下列情形之一的，规范性文件应及时修</w:t>
      </w:r>
    </w:p>
    <w:p>
      <w:pPr>
        <w:pStyle w:val="BodyText"/>
        <w:spacing w:before="13"/>
        <w:rPr>
          <w:sz w:val="7"/>
        </w:rPr>
      </w:pPr>
    </w:p>
    <w:p>
      <w:pPr>
        <w:pStyle w:val="BodyText"/>
        <w:spacing w:before="42"/>
        <w:ind w:left="221"/>
      </w:pPr>
      <w:r>
        <w:rPr/>
        <w:t>改：</w:t>
      </w:r>
    </w:p>
    <w:p>
      <w:pPr>
        <w:pStyle w:val="BodyText"/>
        <w:spacing w:before="152"/>
        <w:ind w:left="860"/>
      </w:pPr>
      <w:r>
        <w:rPr/>
        <w:t>（一）因有关法律、法规、规章、政策及上级行政机关的</w:t>
      </w:r>
    </w:p>
    <w:p>
      <w:pPr>
        <w:pStyle w:val="BodyText"/>
        <w:rPr>
          <w:sz w:val="8"/>
        </w:rPr>
      </w:pPr>
    </w:p>
    <w:p>
      <w:pPr>
        <w:pStyle w:val="BodyText"/>
        <w:spacing w:before="41"/>
        <w:ind w:left="221"/>
      </w:pPr>
      <w:r>
        <w:rPr/>
        <w:t>决定、命令的修改或废止，需作出相应修改的；</w:t>
      </w:r>
    </w:p>
    <w:p>
      <w:pPr>
        <w:pStyle w:val="BodyText"/>
        <w:spacing w:before="152"/>
        <w:ind w:left="860"/>
      </w:pPr>
      <w:r>
        <w:rPr/>
        <w:t>（二）因实际情况发生变化，需增减或改变内容的；</w:t>
      </w:r>
    </w:p>
    <w:p>
      <w:pPr>
        <w:pStyle w:val="BodyText"/>
        <w:spacing w:before="153"/>
        <w:ind w:left="860"/>
      </w:pPr>
      <w:r>
        <w:rPr/>
        <w:t>（三）其他应予以修改的情况。</w:t>
      </w:r>
    </w:p>
    <w:p>
      <w:pPr>
        <w:pStyle w:val="BodyText"/>
        <w:spacing w:before="152"/>
        <w:ind w:left="1020"/>
      </w:pPr>
      <w:r>
        <w:rPr/>
        <w:t>修改规范性文件按照制定程序办理。</w:t>
      </w:r>
    </w:p>
    <w:p>
      <w:pPr>
        <w:spacing w:after="0"/>
        <w:sectPr>
          <w:pgSz w:w="11910" w:h="16840"/>
          <w:pgMar w:header="0" w:footer="1294" w:top="1580" w:bottom="1480" w:left="1480" w:right="1300"/>
        </w:sectPr>
      </w:pPr>
    </w:p>
    <w:p>
      <w:pPr>
        <w:pStyle w:val="BodyText"/>
        <w:tabs>
          <w:tab w:pos="2779" w:val="left" w:leader="none"/>
        </w:tabs>
        <w:spacing w:before="149"/>
        <w:ind w:left="860"/>
      </w:pPr>
      <w:r>
        <w:rPr>
          <w:rFonts w:ascii="楷体" w:eastAsia="楷体" w:hint="eastAsia"/>
        </w:rPr>
        <w:t>第五十七条</w:t>
        <w:tab/>
      </w:r>
      <w:r>
        <w:rPr/>
        <w:t>有下列情形之一的，规范性文件应及时废</w:t>
      </w:r>
    </w:p>
    <w:p>
      <w:pPr>
        <w:pStyle w:val="BodyText"/>
        <w:spacing w:before="153"/>
        <w:ind w:left="221"/>
      </w:pPr>
      <w:r>
        <w:rPr/>
        <w:t>止：</w:t>
      </w:r>
    </w:p>
    <w:p>
      <w:pPr>
        <w:pStyle w:val="BodyText"/>
        <w:spacing w:before="152"/>
        <w:ind w:left="860"/>
      </w:pPr>
      <w:r>
        <w:rPr/>
        <w:t>（一）因有关法律、法规、规章、政策以及上级行政机关</w:t>
      </w:r>
    </w:p>
    <w:p>
      <w:pPr>
        <w:pStyle w:val="BodyText"/>
        <w:spacing w:before="13"/>
        <w:rPr>
          <w:sz w:val="7"/>
        </w:rPr>
      </w:pPr>
    </w:p>
    <w:p>
      <w:pPr>
        <w:pStyle w:val="BodyText"/>
        <w:spacing w:line="321" w:lineRule="auto" w:before="42"/>
        <w:ind w:left="221" w:right="399"/>
      </w:pPr>
      <w:r>
        <w:rPr>
          <w:spacing w:val="-13"/>
          <w:w w:val="95"/>
        </w:rPr>
        <w:t>的决定、命令废止或修改，失去制定依据或没有必要继续执行 </w:t>
      </w:r>
      <w:r>
        <w:rPr>
          <w:spacing w:val="-13"/>
        </w:rPr>
        <w:t>的；</w:t>
      </w:r>
    </w:p>
    <w:p>
      <w:pPr>
        <w:pStyle w:val="BodyText"/>
        <w:spacing w:line="321" w:lineRule="auto"/>
        <w:ind w:left="221" w:right="399" w:firstLine="638"/>
      </w:pPr>
      <w:r>
        <w:rPr/>
        <w:t>（二</w:t>
      </w:r>
      <w:r>
        <w:rPr>
          <w:spacing w:val="-67"/>
        </w:rPr>
        <w:t>）</w:t>
      </w:r>
      <w:r>
        <w:rPr>
          <w:spacing w:val="-4"/>
        </w:rPr>
        <w:t>因规定的事项已执行完毕或实际情况发生变化，没有必要继续执行的；</w:t>
      </w:r>
    </w:p>
    <w:p>
      <w:pPr>
        <w:pStyle w:val="BodyText"/>
        <w:spacing w:before="1"/>
        <w:ind w:left="860"/>
      </w:pPr>
      <w:r>
        <w:rPr/>
        <w:t>（三）新的规范性文件已取代旧的规范性文件；</w:t>
      </w:r>
    </w:p>
    <w:p>
      <w:pPr>
        <w:pStyle w:val="BodyText"/>
        <w:spacing w:before="153"/>
        <w:ind w:left="860"/>
      </w:pPr>
      <w:r>
        <w:rPr/>
        <w:t>（四）其他应予以废止的情况。</w:t>
      </w:r>
    </w:p>
    <w:p>
      <w:pPr>
        <w:pStyle w:val="BodyText"/>
        <w:spacing w:before="152"/>
        <w:ind w:left="860"/>
      </w:pPr>
      <w:r>
        <w:rPr/>
        <w:t>应废止的规范性文件由县政府或县政府部门按规定废止。</w:t>
      </w:r>
    </w:p>
    <w:p>
      <w:pPr>
        <w:pStyle w:val="BodyText"/>
        <w:spacing w:line="321" w:lineRule="auto" w:before="153"/>
        <w:ind w:left="221" w:right="399" w:firstLine="638"/>
        <w:jc w:val="both"/>
      </w:pPr>
      <w:r>
        <w:rPr>
          <w:rFonts w:ascii="楷体" w:eastAsia="楷体" w:hint="eastAsia"/>
          <w:spacing w:val="25"/>
        </w:rPr>
        <w:t>第五十八条 </w:t>
      </w:r>
      <w:r>
        <w:rPr>
          <w:spacing w:val="-12"/>
        </w:rPr>
        <w:t>清理后继续有效、决定废止和宣布失效的县</w:t>
      </w:r>
      <w:r>
        <w:rPr>
          <w:spacing w:val="-19"/>
          <w:w w:val="95"/>
        </w:rPr>
        <w:t>政府规范性文件目录应由县政府向社会公布。县政府部门应及 </w:t>
      </w:r>
      <w:r>
        <w:rPr>
          <w:spacing w:val="-23"/>
          <w:w w:val="95"/>
        </w:rPr>
        <w:t>时将本部门的规范性文件清理结果向社会公布，并向县政府法 </w:t>
      </w:r>
      <w:r>
        <w:rPr>
          <w:spacing w:val="-23"/>
        </w:rPr>
        <w:t>制部门报送规范性文件清理结果。</w:t>
      </w:r>
    </w:p>
    <w:p>
      <w:pPr>
        <w:pStyle w:val="BodyText"/>
        <w:spacing w:line="321" w:lineRule="auto" w:before="1"/>
        <w:ind w:left="221" w:right="584" w:firstLine="638"/>
        <w:jc w:val="both"/>
      </w:pPr>
      <w:r>
        <w:rPr>
          <w:rFonts w:ascii="楷体" w:eastAsia="楷体" w:hint="eastAsia"/>
        </w:rPr>
        <w:t>第五十九条 </w:t>
      </w:r>
      <w:r>
        <w:rPr/>
        <w:t>清理后继续有效的规范性文件由县政府法制部门或县政府部门根据需要适时进行汇编。</w:t>
      </w:r>
    </w:p>
    <w:p>
      <w:pPr>
        <w:pStyle w:val="BodyText"/>
        <w:spacing w:before="13"/>
        <w:rPr>
          <w:sz w:val="42"/>
        </w:rPr>
      </w:pPr>
    </w:p>
    <w:p>
      <w:pPr>
        <w:pStyle w:val="BodyText"/>
        <w:tabs>
          <w:tab w:pos="1439" w:val="left" w:leader="none"/>
          <w:tab w:pos="2080" w:val="left" w:leader="none"/>
        </w:tabs>
        <w:ind w:right="180"/>
        <w:jc w:val="center"/>
        <w:rPr>
          <w:rFonts w:ascii="黑体" w:eastAsia="黑体" w:hint="eastAsia"/>
        </w:rPr>
      </w:pPr>
      <w:r>
        <w:rPr>
          <w:rFonts w:ascii="黑体" w:eastAsia="黑体" w:hint="eastAsia"/>
        </w:rPr>
        <w:t>第十章</w:t>
        <w:tab/>
        <w:t>附</w:t>
        <w:tab/>
        <w:t>则</w:t>
      </w:r>
    </w:p>
    <w:p>
      <w:pPr>
        <w:pStyle w:val="BodyText"/>
        <w:rPr>
          <w:rFonts w:ascii="黑体"/>
        </w:rPr>
      </w:pPr>
    </w:p>
    <w:p>
      <w:pPr>
        <w:pStyle w:val="BodyText"/>
        <w:spacing w:before="9"/>
        <w:rPr>
          <w:rFonts w:ascii="黑体"/>
          <w:sz w:val="29"/>
        </w:rPr>
      </w:pPr>
    </w:p>
    <w:p>
      <w:pPr>
        <w:pStyle w:val="BodyText"/>
        <w:spacing w:line="321" w:lineRule="auto"/>
        <w:ind w:left="221" w:right="399" w:firstLine="638"/>
        <w:jc w:val="both"/>
      </w:pPr>
      <w:r>
        <w:rPr>
          <w:rFonts w:ascii="楷体" w:eastAsia="楷体" w:hint="eastAsia"/>
          <w:spacing w:val="29"/>
        </w:rPr>
        <w:t>第六十条 </w:t>
      </w:r>
      <w:r>
        <w:rPr>
          <w:spacing w:val="-7"/>
        </w:rPr>
        <w:t>各乡镇政府</w:t>
      </w:r>
      <w:r>
        <w:rPr/>
        <w:t>（</w:t>
      </w:r>
      <w:r>
        <w:rPr>
          <w:spacing w:val="-9"/>
        </w:rPr>
        <w:t>街道、开发区、景区</w:t>
      </w:r>
      <w:r>
        <w:rPr>
          <w:spacing w:val="-34"/>
        </w:rPr>
        <w:t>）</w:t>
      </w:r>
      <w:r>
        <w:rPr/>
        <w:t>应参照本</w:t>
      </w:r>
      <w:r>
        <w:rPr>
          <w:spacing w:val="-4"/>
        </w:rPr>
        <w:t>规定制定本乡镇政府</w:t>
      </w:r>
      <w:r>
        <w:rPr/>
        <w:t>（</w:t>
      </w:r>
      <w:r>
        <w:rPr>
          <w:spacing w:val="-9"/>
        </w:rPr>
        <w:t>街道、开发区、景区</w:t>
      </w:r>
      <w:r>
        <w:rPr>
          <w:spacing w:val="-34"/>
        </w:rPr>
        <w:t>）</w:t>
      </w:r>
      <w:r>
        <w:rPr/>
        <w:t>的规范性文件管理规定。</w:t>
      </w:r>
    </w:p>
    <w:p>
      <w:pPr>
        <w:spacing w:after="0" w:line="321" w:lineRule="auto"/>
        <w:jc w:val="both"/>
        <w:sectPr>
          <w:footerReference w:type="default" r:id="rId18"/>
          <w:pgSz w:w="11910" w:h="16840"/>
          <w:pgMar w:footer="1294" w:header="0" w:top="1580" w:bottom="1480" w:left="1480" w:right="1300"/>
          <w:pgNumType w:start="20"/>
        </w:sectPr>
      </w:pPr>
    </w:p>
    <w:p>
      <w:pPr>
        <w:pStyle w:val="BodyText"/>
        <w:spacing w:line="321" w:lineRule="auto" w:before="149"/>
        <w:ind w:left="221" w:right="399" w:firstLine="638"/>
        <w:jc w:val="both"/>
      </w:pPr>
      <w:r>
        <w:rPr>
          <w:rFonts w:ascii="楷体" w:eastAsia="楷体" w:hint="eastAsia"/>
        </w:rPr>
        <w:t>第六十一条 </w:t>
      </w:r>
      <w:r>
        <w:rPr/>
        <w:t>县政府和县政府部门规范性文件制定、备案</w:t>
      </w:r>
      <w:r>
        <w:rPr>
          <w:w w:val="95"/>
        </w:rPr>
        <w:t>及清理等有关工作，纳入依法行政工作年度考核内容。各乡镇</w:t>
      </w:r>
    </w:p>
    <w:p>
      <w:pPr>
        <w:pStyle w:val="BodyText"/>
        <w:spacing w:line="321" w:lineRule="auto" w:before="1"/>
        <w:ind w:left="221" w:right="399"/>
        <w:jc w:val="both"/>
      </w:pPr>
      <w:r>
        <w:rPr/>
        <w:t>（</w:t>
      </w:r>
      <w:r>
        <w:rPr>
          <w:spacing w:val="-8"/>
        </w:rPr>
        <w:t>街道、开发区、景区</w:t>
      </w:r>
      <w:r>
        <w:rPr>
          <w:spacing w:val="-27"/>
        </w:rPr>
        <w:t>）</w:t>
      </w:r>
      <w:r>
        <w:rPr>
          <w:spacing w:val="-8"/>
        </w:rPr>
        <w:t>和县政府部门应于每年 </w:t>
      </w:r>
      <w:r>
        <w:rPr/>
        <w:t>1</w:t>
      </w:r>
      <w:r>
        <w:rPr>
          <w:spacing w:val="-55"/>
        </w:rPr>
        <w:t> 月 </w:t>
      </w:r>
      <w:r>
        <w:rPr/>
        <w:t>5</w:t>
      </w:r>
      <w:r>
        <w:rPr>
          <w:spacing w:val="-22"/>
        </w:rPr>
        <w:t> 日前将</w:t>
      </w:r>
      <w:r>
        <w:rPr>
          <w:spacing w:val="-25"/>
          <w:w w:val="95"/>
        </w:rPr>
        <w:t>上年度制定的规范性文件目录和规范性文件制定、备案、清理 </w:t>
      </w:r>
      <w:r>
        <w:rPr>
          <w:spacing w:val="-25"/>
        </w:rPr>
        <w:t>等工作情况报送县政府法制部门。</w:t>
      </w:r>
    </w:p>
    <w:p>
      <w:pPr>
        <w:pStyle w:val="BodyText"/>
        <w:spacing w:before="1"/>
        <w:ind w:left="860"/>
        <w:jc w:val="both"/>
      </w:pPr>
      <w:r>
        <w:rPr>
          <w:rFonts w:ascii="楷体" w:eastAsia="楷体" w:hint="eastAsia"/>
        </w:rPr>
        <w:t>第六十二条 </w:t>
      </w:r>
      <w:r>
        <w:rPr/>
        <w:t>本规定自印发之日起施行，有效期至 2022</w:t>
      </w:r>
    </w:p>
    <w:p>
      <w:pPr>
        <w:pStyle w:val="BodyText"/>
        <w:spacing w:before="152"/>
        <w:ind w:left="221"/>
        <w:jc w:val="both"/>
      </w:pPr>
      <w:r>
        <w:rPr>
          <w:spacing w:val="-41"/>
        </w:rPr>
        <w:t>年 </w:t>
      </w:r>
      <w:r>
        <w:rPr/>
        <w:t>12</w:t>
      </w:r>
      <w:r>
        <w:rPr>
          <w:spacing w:val="-53"/>
        </w:rPr>
        <w:t> 月 </w:t>
      </w:r>
      <w:r>
        <w:rPr/>
        <w:t>31</w:t>
      </w:r>
      <w:r>
        <w:rPr>
          <w:spacing w:val="-27"/>
        </w:rPr>
        <w:t> 日。</w:t>
      </w:r>
    </w:p>
    <w:p>
      <w:pPr>
        <w:pStyle w:val="BodyText"/>
        <w:rPr>
          <w:sz w:val="20"/>
        </w:rPr>
      </w:pPr>
    </w:p>
    <w:p>
      <w:pPr>
        <w:pStyle w:val="BodyText"/>
        <w:rPr>
          <w:sz w:val="20"/>
        </w:rPr>
      </w:pPr>
    </w:p>
    <w:p>
      <w:pPr>
        <w:pStyle w:val="BodyText"/>
        <w:spacing w:before="193"/>
        <w:ind w:left="860"/>
      </w:pPr>
      <w:r>
        <w:rPr/>
        <w:t>附件：有关文书格式样本</w:t>
      </w:r>
    </w:p>
    <w:p>
      <w:pPr>
        <w:pStyle w:val="BodyText"/>
        <w:spacing w:before="122"/>
        <w:ind w:left="221"/>
        <w:rPr>
          <w:rFonts w:ascii="黑体" w:eastAsia="黑体" w:hint="eastAsia"/>
        </w:rPr>
      </w:pPr>
      <w:r>
        <w:rPr>
          <w:rFonts w:ascii="黑体" w:eastAsia="黑体" w:hint="eastAsia"/>
        </w:rPr>
        <w:t>附件</w:t>
      </w:r>
    </w:p>
    <w:p>
      <w:pPr>
        <w:pStyle w:val="BodyText"/>
        <w:rPr>
          <w:rFonts w:ascii="黑体"/>
          <w:sz w:val="20"/>
        </w:rPr>
      </w:pPr>
    </w:p>
    <w:p>
      <w:pPr>
        <w:pStyle w:val="BodyText"/>
        <w:spacing w:before="7"/>
        <w:rPr>
          <w:rFonts w:ascii="黑体"/>
          <w:sz w:val="21"/>
        </w:rPr>
      </w:pPr>
    </w:p>
    <w:p>
      <w:pPr>
        <w:pStyle w:val="Heading2"/>
        <w:spacing w:line="751" w:lineRule="exact"/>
      </w:pPr>
      <w:r>
        <w:rPr/>
        <w:t>有关文书格式样本</w:t>
      </w:r>
    </w:p>
    <w:p>
      <w:pPr>
        <w:pStyle w:val="BodyText"/>
        <w:spacing w:before="15"/>
        <w:rPr>
          <w:rFonts w:ascii="方正小标宋简体"/>
          <w:sz w:val="30"/>
        </w:rPr>
      </w:pPr>
    </w:p>
    <w:p>
      <w:pPr>
        <w:pStyle w:val="BodyText"/>
        <w:ind w:left="221"/>
        <w:rPr>
          <w:rFonts w:ascii="黑体" w:eastAsia="黑体" w:hint="eastAsia"/>
        </w:rPr>
      </w:pPr>
      <w:r>
        <w:rPr>
          <w:rFonts w:ascii="黑体" w:eastAsia="黑体" w:hint="eastAsia"/>
        </w:rPr>
        <w:t>（一）提请制定政府规范性文件请示格式</w:t>
      </w:r>
    </w:p>
    <w:p>
      <w:pPr>
        <w:pStyle w:val="BodyText"/>
        <w:rPr>
          <w:rFonts w:ascii="黑体"/>
          <w:sz w:val="20"/>
        </w:rPr>
      </w:pPr>
    </w:p>
    <w:p>
      <w:pPr>
        <w:pStyle w:val="BodyText"/>
        <w:rPr>
          <w:rFonts w:ascii="黑体"/>
          <w:sz w:val="20"/>
        </w:rPr>
      </w:pPr>
    </w:p>
    <w:p>
      <w:pPr>
        <w:spacing w:after="0"/>
        <w:rPr>
          <w:rFonts w:ascii="黑体"/>
          <w:sz w:val="20"/>
        </w:rPr>
        <w:sectPr>
          <w:pgSz w:w="11910" w:h="16840"/>
          <w:pgMar w:header="0" w:footer="1294" w:top="1580" w:bottom="1480" w:left="1480" w:right="1300"/>
        </w:sectPr>
      </w:pPr>
    </w:p>
    <w:p>
      <w:pPr>
        <w:pStyle w:val="BodyText"/>
        <w:rPr>
          <w:rFonts w:ascii="黑体"/>
          <w:sz w:val="36"/>
        </w:rPr>
      </w:pPr>
    </w:p>
    <w:p>
      <w:pPr>
        <w:pStyle w:val="BodyText"/>
        <w:rPr>
          <w:rFonts w:ascii="黑体"/>
          <w:sz w:val="36"/>
        </w:rPr>
      </w:pPr>
    </w:p>
    <w:p>
      <w:pPr>
        <w:pStyle w:val="BodyText"/>
        <w:spacing w:before="10"/>
        <w:rPr>
          <w:rFonts w:ascii="黑体"/>
          <w:sz w:val="30"/>
        </w:rPr>
      </w:pPr>
    </w:p>
    <w:p>
      <w:pPr>
        <w:pStyle w:val="BodyText"/>
        <w:ind w:left="221"/>
      </w:pPr>
      <w:r>
        <w:rPr/>
        <w:t>县政府：</w:t>
      </w:r>
    </w:p>
    <w:p>
      <w:pPr>
        <w:pStyle w:val="BodyText"/>
        <w:spacing w:before="199"/>
        <w:ind w:left="221"/>
        <w:rPr>
          <w:rFonts w:ascii="黑体" w:hAnsi="黑体" w:eastAsia="黑体" w:hint="eastAsia"/>
        </w:rPr>
      </w:pPr>
      <w:r>
        <w:rPr/>
        <w:br w:type="column"/>
      </w:r>
      <w:r>
        <w:rPr>
          <w:rFonts w:ascii="黑体" w:hAnsi="黑体" w:eastAsia="黑体" w:hint="eastAsia"/>
          <w:w w:val="95"/>
        </w:rPr>
        <w:t>关于制定×××的请示</w:t>
      </w:r>
    </w:p>
    <w:p>
      <w:pPr>
        <w:pStyle w:val="BodyText"/>
        <w:spacing w:before="149"/>
        <w:ind w:left="250"/>
      </w:pPr>
      <w:r>
        <w:rPr>
          <w:rFonts w:ascii="Arial" w:hAnsi="Arial" w:eastAsia="Arial"/>
          <w:w w:val="95"/>
        </w:rPr>
        <w:t>××××</w:t>
      </w:r>
      <w:r>
        <w:rPr>
          <w:w w:val="95"/>
        </w:rPr>
        <w:t>字〔</w:t>
      </w:r>
      <w:r>
        <w:rPr>
          <w:rFonts w:ascii="Arial" w:hAnsi="Arial" w:eastAsia="Arial"/>
          <w:w w:val="95"/>
        </w:rPr>
        <w:t>××××</w:t>
      </w:r>
      <w:r>
        <w:rPr>
          <w:w w:val="95"/>
        </w:rPr>
        <w:t>〕</w:t>
      </w:r>
      <w:r>
        <w:rPr>
          <w:rFonts w:ascii="Arial" w:hAnsi="Arial" w:eastAsia="Arial"/>
          <w:w w:val="95"/>
        </w:rPr>
        <w:t>××</w:t>
      </w:r>
      <w:r>
        <w:rPr>
          <w:w w:val="95"/>
        </w:rPr>
        <w:t>号</w:t>
      </w:r>
    </w:p>
    <w:p>
      <w:pPr>
        <w:spacing w:after="0"/>
        <w:sectPr>
          <w:type w:val="continuous"/>
          <w:pgSz w:w="11910" w:h="16840"/>
          <w:pgMar w:top="1580" w:bottom="1160" w:left="1480" w:right="1300"/>
          <w:cols w:num="2" w:equalWidth="0">
            <w:col w:w="1541" w:space="1111"/>
            <w:col w:w="6478"/>
          </w:cols>
        </w:sectPr>
      </w:pPr>
    </w:p>
    <w:p>
      <w:pPr>
        <w:pStyle w:val="BodyText"/>
        <w:spacing w:line="300" w:lineRule="auto" w:before="112"/>
        <w:ind w:left="221" w:right="449" w:firstLine="638"/>
      </w:pPr>
      <w:r>
        <w:rPr>
          <w:w w:val="95"/>
        </w:rPr>
        <w:t>为了</w:t>
      </w:r>
      <w:r>
        <w:rPr>
          <w:rFonts w:ascii="Arial" w:hAnsi="Arial" w:eastAsia="Arial"/>
          <w:w w:val="95"/>
        </w:rPr>
        <w:t>××××</w:t>
      </w:r>
      <w:r>
        <w:rPr>
          <w:w w:val="95"/>
        </w:rPr>
        <w:t>，根据</w:t>
      </w:r>
      <w:r>
        <w:rPr>
          <w:rFonts w:ascii="Arial" w:hAnsi="Arial" w:eastAsia="Arial"/>
          <w:w w:val="95"/>
        </w:rPr>
        <w:t>××××</w:t>
      </w:r>
      <w:r>
        <w:rPr>
          <w:w w:val="95"/>
        </w:rPr>
        <w:t>，拟制定《</w:t>
      </w:r>
      <w:r>
        <w:rPr>
          <w:rFonts w:ascii="Arial" w:hAnsi="Arial" w:eastAsia="Arial"/>
          <w:w w:val="95"/>
        </w:rPr>
        <w:t>×××</w:t>
      </w:r>
      <w:r>
        <w:rPr>
          <w:w w:val="95"/>
        </w:rPr>
        <w:t>》，按照《山东省 </w:t>
      </w:r>
      <w:r>
        <w:rPr/>
        <w:t>行政程序规定》，现将《</w:t>
      </w:r>
      <w:r>
        <w:rPr>
          <w:rFonts w:ascii="Arial" w:hAnsi="Arial" w:eastAsia="Arial"/>
        </w:rPr>
        <w:t>××××</w:t>
      </w:r>
      <w:r>
        <w:rPr/>
        <w:t>》报上。</w:t>
      </w:r>
    </w:p>
    <w:p>
      <w:pPr>
        <w:pStyle w:val="BodyText"/>
        <w:spacing w:before="1"/>
        <w:rPr>
          <w:sz w:val="40"/>
        </w:rPr>
      </w:pPr>
    </w:p>
    <w:p>
      <w:pPr>
        <w:pStyle w:val="BodyText"/>
        <w:spacing w:before="1"/>
        <w:ind w:left="860"/>
      </w:pPr>
      <w:r>
        <w:rPr/>
        <w:t>当否，请批示。</w:t>
      </w:r>
    </w:p>
    <w:p>
      <w:pPr>
        <w:spacing w:after="0"/>
        <w:sectPr>
          <w:type w:val="continuous"/>
          <w:pgSz w:w="11910" w:h="16840"/>
          <w:pgMar w:top="1580" w:bottom="1160" w:left="1480" w:right="1300"/>
        </w:sectPr>
      </w:pPr>
    </w:p>
    <w:p>
      <w:pPr>
        <w:pStyle w:val="BodyText"/>
        <w:spacing w:before="115"/>
        <w:ind w:left="860"/>
        <w:rPr>
          <w:rFonts w:ascii="Arial" w:hAnsi="Arial" w:eastAsia="Arial"/>
        </w:rPr>
      </w:pPr>
      <w:r>
        <w:rPr/>
        <w:t>附件：1. </w:t>
      </w:r>
      <w:r>
        <w:rPr>
          <w:rFonts w:ascii="Arial" w:hAnsi="Arial" w:eastAsia="Arial"/>
        </w:rPr>
        <w:t>××××</w:t>
      </w:r>
    </w:p>
    <w:p>
      <w:pPr>
        <w:pStyle w:val="ListParagraph"/>
        <w:numPr>
          <w:ilvl w:val="1"/>
          <w:numId w:val="1"/>
        </w:numPr>
        <w:tabs>
          <w:tab w:pos="2180" w:val="left" w:leader="none"/>
        </w:tabs>
        <w:spacing w:line="240" w:lineRule="auto" w:before="115" w:after="0"/>
        <w:ind w:left="2180" w:right="0" w:hanging="360"/>
        <w:jc w:val="left"/>
        <w:rPr>
          <w:sz w:val="32"/>
        </w:rPr>
      </w:pPr>
      <w:r>
        <w:rPr>
          <w:w w:val="95"/>
          <w:sz w:val="32"/>
        </w:rPr>
        <w:t>起草说明</w:t>
      </w:r>
    </w:p>
    <w:p>
      <w:pPr>
        <w:pStyle w:val="ListParagraph"/>
        <w:numPr>
          <w:ilvl w:val="1"/>
          <w:numId w:val="1"/>
        </w:numPr>
        <w:tabs>
          <w:tab w:pos="2178" w:val="left" w:leader="none"/>
        </w:tabs>
        <w:spacing w:line="240" w:lineRule="auto" w:before="111" w:after="0"/>
        <w:ind w:left="2177" w:right="0" w:hanging="358"/>
        <w:jc w:val="left"/>
        <w:rPr>
          <w:sz w:val="32"/>
        </w:rPr>
      </w:pPr>
      <w:r>
        <w:rPr>
          <w:w w:val="95"/>
          <w:sz w:val="32"/>
        </w:rPr>
        <w:t>制定依据</w:t>
      </w:r>
    </w:p>
    <w:p>
      <w:pPr>
        <w:pStyle w:val="ListParagraph"/>
        <w:numPr>
          <w:ilvl w:val="1"/>
          <w:numId w:val="1"/>
        </w:numPr>
        <w:tabs>
          <w:tab w:pos="2188" w:val="left" w:leader="none"/>
        </w:tabs>
        <w:spacing w:line="240" w:lineRule="auto" w:before="112" w:after="0"/>
        <w:ind w:left="2187" w:right="0" w:hanging="368"/>
        <w:jc w:val="left"/>
        <w:rPr>
          <w:sz w:val="32"/>
        </w:rPr>
      </w:pPr>
      <w:r>
        <w:rPr>
          <w:sz w:val="32"/>
        </w:rPr>
        <w:t>起草部门法制机构合法性审查报告</w:t>
      </w:r>
    </w:p>
    <w:p>
      <w:pPr>
        <w:pStyle w:val="ListParagraph"/>
        <w:numPr>
          <w:ilvl w:val="1"/>
          <w:numId w:val="1"/>
        </w:numPr>
        <w:tabs>
          <w:tab w:pos="2173" w:val="left" w:leader="none"/>
        </w:tabs>
        <w:spacing w:line="240" w:lineRule="auto" w:before="114" w:after="0"/>
        <w:ind w:left="2172" w:right="0" w:hanging="353"/>
        <w:jc w:val="left"/>
        <w:rPr>
          <w:sz w:val="32"/>
        </w:rPr>
      </w:pPr>
      <w:r>
        <w:rPr>
          <w:sz w:val="32"/>
        </w:rPr>
        <w:t>征求意见情况</w:t>
      </w:r>
    </w:p>
    <w:p>
      <w:pPr>
        <w:pStyle w:val="BodyText"/>
        <w:rPr>
          <w:sz w:val="48"/>
        </w:rPr>
      </w:pPr>
    </w:p>
    <w:p>
      <w:pPr>
        <w:pStyle w:val="BodyText"/>
        <w:ind w:left="5501"/>
      </w:pPr>
      <w:r>
        <w:rPr/>
        <w:t>起草部门（印章）</w:t>
      </w:r>
    </w:p>
    <w:p>
      <w:pPr>
        <w:pStyle w:val="BodyText"/>
        <w:spacing w:before="114"/>
        <w:ind w:left="5501"/>
      </w:pPr>
      <w:r>
        <w:rPr>
          <w:rFonts w:ascii="Arial" w:hAnsi="Arial" w:eastAsia="Arial"/>
        </w:rPr>
        <w:t>××××</w:t>
      </w:r>
      <w:r>
        <w:rPr/>
        <w:t>年</w:t>
      </w:r>
      <w:r>
        <w:rPr>
          <w:rFonts w:ascii="Arial" w:hAnsi="Arial" w:eastAsia="Arial"/>
        </w:rPr>
        <w:t>××</w:t>
      </w:r>
      <w:r>
        <w:rPr/>
        <w:t>月</w:t>
      </w:r>
      <w:r>
        <w:rPr>
          <w:rFonts w:ascii="Arial" w:hAnsi="Arial" w:eastAsia="Arial"/>
        </w:rPr>
        <w:t>××</w:t>
      </w:r>
      <w:r>
        <w:rPr/>
        <w:t>日</w:t>
      </w:r>
    </w:p>
    <w:p>
      <w:pPr>
        <w:pStyle w:val="BodyText"/>
        <w:spacing w:before="112"/>
        <w:ind w:left="1500"/>
      </w:pPr>
      <w:r>
        <w:rPr/>
        <w:t>（联系人：</w:t>
      </w:r>
      <w:r>
        <w:rPr>
          <w:rFonts w:ascii="Arial" w:hAnsi="Arial" w:eastAsia="Arial"/>
        </w:rPr>
        <w:t>××××</w:t>
      </w:r>
      <w:r>
        <w:rPr/>
        <w:t>，电话：</w:t>
      </w:r>
      <w:r>
        <w:rPr>
          <w:rFonts w:ascii="Arial" w:hAnsi="Arial" w:eastAsia="Arial"/>
        </w:rPr>
        <w:t>××××</w:t>
      </w:r>
      <w:r>
        <w:rPr/>
        <w:t>）</w:t>
      </w:r>
    </w:p>
    <w:p>
      <w:pPr>
        <w:pStyle w:val="BodyText"/>
        <w:spacing w:before="114"/>
        <w:ind w:left="221"/>
        <w:rPr>
          <w:rFonts w:ascii="黑体" w:eastAsia="黑体" w:hint="eastAsia"/>
        </w:rPr>
      </w:pPr>
      <w:r>
        <w:rPr>
          <w:rFonts w:ascii="黑体" w:eastAsia="黑体" w:hint="eastAsia"/>
        </w:rPr>
        <w:t>（二）政府规范性文件登记编号申请书格式</w:t>
      </w:r>
    </w:p>
    <w:p>
      <w:pPr>
        <w:pStyle w:val="BodyText"/>
        <w:rPr>
          <w:rFonts w:ascii="黑体"/>
        </w:rPr>
      </w:pPr>
    </w:p>
    <w:p>
      <w:pPr>
        <w:pStyle w:val="BodyText"/>
        <w:spacing w:before="6"/>
        <w:rPr>
          <w:rFonts w:ascii="黑体"/>
          <w:sz w:val="23"/>
        </w:rPr>
      </w:pPr>
    </w:p>
    <w:p>
      <w:pPr>
        <w:pStyle w:val="BodyText"/>
        <w:ind w:left="631" w:right="173"/>
        <w:jc w:val="center"/>
        <w:rPr>
          <w:rFonts w:ascii="黑体" w:hAnsi="黑体" w:eastAsia="黑体" w:hint="eastAsia"/>
        </w:rPr>
      </w:pPr>
      <w:r>
        <w:rPr>
          <w:rFonts w:ascii="黑体" w:hAnsi="黑体" w:eastAsia="黑体" w:hint="eastAsia"/>
        </w:rPr>
        <w:t>关于××××登记编号的申请</w:t>
      </w:r>
    </w:p>
    <w:p>
      <w:pPr>
        <w:pStyle w:val="BodyText"/>
        <w:spacing w:before="147"/>
        <w:ind w:left="631" w:right="322"/>
        <w:jc w:val="center"/>
      </w:pPr>
      <w:r>
        <w:rPr>
          <w:rFonts w:ascii="Arial" w:hAnsi="Arial" w:eastAsia="Arial"/>
        </w:rPr>
        <w:t>××××</w:t>
      </w:r>
      <w:r>
        <w:rPr/>
        <w:t>字〔</w:t>
      </w:r>
      <w:r>
        <w:rPr>
          <w:rFonts w:ascii="Arial" w:hAnsi="Arial" w:eastAsia="Arial"/>
        </w:rPr>
        <w:t>××××</w:t>
      </w:r>
      <w:r>
        <w:rPr/>
        <w:t>〕</w:t>
      </w:r>
      <w:r>
        <w:rPr>
          <w:rFonts w:ascii="Arial" w:hAnsi="Arial" w:eastAsia="Arial"/>
        </w:rPr>
        <w:t>××××</w:t>
      </w:r>
      <w:r>
        <w:rPr/>
        <w:t>号</w:t>
      </w:r>
    </w:p>
    <w:p>
      <w:pPr>
        <w:pStyle w:val="BodyText"/>
        <w:spacing w:before="1"/>
        <w:rPr>
          <w:sz w:val="48"/>
        </w:rPr>
      </w:pPr>
    </w:p>
    <w:p>
      <w:pPr>
        <w:pStyle w:val="BodyText"/>
        <w:spacing w:before="1"/>
        <w:ind w:left="221"/>
      </w:pPr>
      <w:r>
        <w:rPr/>
        <w:t>县政府法制局：</w:t>
      </w:r>
    </w:p>
    <w:p>
      <w:pPr>
        <w:pStyle w:val="BodyText"/>
        <w:spacing w:line="300" w:lineRule="auto" w:before="111"/>
        <w:ind w:left="221" w:right="476" w:firstLine="638"/>
      </w:pPr>
      <w:r>
        <w:rPr/>
        <w:t>现将我部门起草的《</w:t>
      </w:r>
      <w:r>
        <w:rPr>
          <w:rFonts w:ascii="Arial" w:hAnsi="Arial" w:eastAsia="Arial"/>
        </w:rPr>
        <w:t>××××</w:t>
      </w:r>
      <w:r>
        <w:rPr/>
        <w:t>》，按照《山东省行政程序规定》，报请统一登记编号。</w:t>
      </w:r>
    </w:p>
    <w:p>
      <w:pPr>
        <w:pStyle w:val="BodyText"/>
        <w:spacing w:before="2"/>
        <w:rPr>
          <w:sz w:val="40"/>
        </w:rPr>
      </w:pPr>
    </w:p>
    <w:p>
      <w:pPr>
        <w:pStyle w:val="BodyText"/>
        <w:ind w:left="860"/>
        <w:rPr>
          <w:rFonts w:ascii="Arial" w:hAnsi="Arial" w:eastAsia="Arial"/>
        </w:rPr>
      </w:pPr>
      <w:r>
        <w:rPr/>
        <w:t>附件：1. </w:t>
      </w:r>
      <w:r>
        <w:rPr>
          <w:rFonts w:ascii="Arial" w:hAnsi="Arial" w:eastAsia="Arial"/>
        </w:rPr>
        <w:t>××××</w:t>
      </w:r>
    </w:p>
    <w:p>
      <w:pPr>
        <w:pStyle w:val="BodyText"/>
        <w:spacing w:before="114"/>
        <w:ind w:left="1820"/>
      </w:pPr>
      <w:r>
        <w:rPr/>
        <w:t>2. 政府领导签署办文单</w:t>
      </w:r>
    </w:p>
    <w:p>
      <w:pPr>
        <w:spacing w:after="0"/>
        <w:sectPr>
          <w:pgSz w:w="11910" w:h="16840"/>
          <w:pgMar w:header="0" w:footer="1294" w:top="1580" w:bottom="1480" w:left="1480" w:right="1300"/>
        </w:sectPr>
      </w:pPr>
    </w:p>
    <w:p>
      <w:pPr>
        <w:pStyle w:val="BodyText"/>
        <w:rPr>
          <w:sz w:val="20"/>
        </w:rPr>
      </w:pPr>
    </w:p>
    <w:p>
      <w:pPr>
        <w:pStyle w:val="BodyText"/>
        <w:spacing w:before="7"/>
        <w:rPr>
          <w:sz w:val="25"/>
        </w:rPr>
      </w:pPr>
    </w:p>
    <w:p>
      <w:pPr>
        <w:pStyle w:val="BodyText"/>
        <w:spacing w:before="41"/>
        <w:ind w:left="5660"/>
      </w:pPr>
      <w:r>
        <w:rPr/>
        <w:t>起草部门（印章）</w:t>
      </w:r>
    </w:p>
    <w:p>
      <w:pPr>
        <w:pStyle w:val="BodyText"/>
        <w:spacing w:before="112"/>
        <w:ind w:left="5660"/>
      </w:pPr>
      <w:r>
        <w:rPr>
          <w:rFonts w:ascii="Arial" w:hAnsi="Arial" w:eastAsia="Arial"/>
        </w:rPr>
        <w:t>××××</w:t>
      </w:r>
      <w:r>
        <w:rPr/>
        <w:t>年</w:t>
      </w:r>
      <w:r>
        <w:rPr>
          <w:rFonts w:ascii="Arial" w:hAnsi="Arial" w:eastAsia="Arial"/>
        </w:rPr>
        <w:t>××</w:t>
      </w:r>
      <w:r>
        <w:rPr/>
        <w:t>月</w:t>
      </w:r>
      <w:r>
        <w:rPr>
          <w:rFonts w:ascii="Arial" w:hAnsi="Arial" w:eastAsia="Arial"/>
        </w:rPr>
        <w:t>××</w:t>
      </w:r>
      <w:r>
        <w:rPr/>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pStyle w:val="BodyText"/>
        <w:spacing w:before="54"/>
        <w:ind w:left="221"/>
        <w:rPr>
          <w:rFonts w:ascii="黑体" w:eastAsia="黑体" w:hint="eastAsia"/>
        </w:rPr>
      </w:pPr>
      <w:r>
        <w:rPr>
          <w:rFonts w:ascii="黑体" w:eastAsia="黑体" w:hint="eastAsia"/>
        </w:rPr>
        <w:t>（三）规范性文件登记通知书格式</w:t>
      </w:r>
    </w:p>
    <w:p>
      <w:pPr>
        <w:pStyle w:val="BodyText"/>
        <w:rPr>
          <w:rFonts w:ascii="黑体"/>
        </w:rPr>
      </w:pPr>
    </w:p>
    <w:p>
      <w:pPr>
        <w:pStyle w:val="BodyText"/>
        <w:spacing w:before="6"/>
        <w:rPr>
          <w:rFonts w:ascii="黑体"/>
          <w:sz w:val="23"/>
        </w:rPr>
      </w:pPr>
    </w:p>
    <w:p>
      <w:pPr>
        <w:pStyle w:val="BodyText"/>
        <w:spacing w:before="1"/>
        <w:ind w:left="631" w:right="808"/>
        <w:jc w:val="center"/>
        <w:rPr>
          <w:rFonts w:ascii="黑体" w:eastAsia="黑体" w:hint="eastAsia"/>
        </w:rPr>
      </w:pPr>
      <w:r>
        <w:rPr>
          <w:rFonts w:ascii="黑体" w:eastAsia="黑体" w:hint="eastAsia"/>
        </w:rPr>
        <w:t>规范性文件登记通知书</w:t>
      </w:r>
    </w:p>
    <w:p>
      <w:pPr>
        <w:pStyle w:val="BodyText"/>
        <w:spacing w:before="146"/>
        <w:ind w:left="631" w:right="804"/>
        <w:jc w:val="center"/>
      </w:pPr>
      <w:r>
        <w:rPr/>
        <w:t>郯府法登字〔</w:t>
      </w:r>
      <w:r>
        <w:rPr>
          <w:rFonts w:ascii="Arial" w:hAnsi="Arial" w:eastAsia="Arial"/>
        </w:rPr>
        <w:t>××××</w:t>
      </w:r>
      <w:r>
        <w:rPr/>
        <w:t>〕</w:t>
      </w:r>
      <w:r>
        <w:rPr>
          <w:rFonts w:ascii="Arial" w:hAnsi="Arial" w:eastAsia="Arial"/>
        </w:rPr>
        <w:t>××××</w:t>
      </w:r>
      <w:r>
        <w:rPr/>
        <w:t>号</w:t>
      </w:r>
    </w:p>
    <w:p>
      <w:pPr>
        <w:pStyle w:val="BodyText"/>
        <w:spacing w:before="2"/>
        <w:rPr>
          <w:sz w:val="48"/>
        </w:rPr>
      </w:pPr>
    </w:p>
    <w:p>
      <w:pPr>
        <w:pStyle w:val="BodyText"/>
        <w:ind w:left="221"/>
      </w:pPr>
      <w:r>
        <w:rPr>
          <w:rFonts w:ascii="Arial" w:hAnsi="Arial" w:eastAsia="Arial"/>
        </w:rPr>
        <w:t>××××</w:t>
      </w:r>
      <w:r>
        <w:rPr/>
        <w:t>：</w:t>
      </w:r>
    </w:p>
    <w:p>
      <w:pPr>
        <w:pStyle w:val="BodyText"/>
        <w:spacing w:line="300" w:lineRule="auto" w:before="112"/>
        <w:ind w:left="221" w:right="403" w:firstLine="638"/>
        <w:jc w:val="both"/>
      </w:pPr>
      <w:r>
        <w:rPr/>
        <w:t>你部门报来的《</w:t>
      </w:r>
      <w:r>
        <w:rPr>
          <w:rFonts w:ascii="Arial" w:hAnsi="Arial" w:eastAsia="Arial"/>
        </w:rPr>
        <w:t>××××</w:t>
      </w:r>
      <w:r>
        <w:rPr/>
        <w:t>》及相关材料，经审查符合要求， </w:t>
      </w:r>
      <w:r>
        <w:rPr>
          <w:spacing w:val="-23"/>
          <w:w w:val="95"/>
        </w:rPr>
        <w:t>根据《山东行政程序规定》，准予登记。统一登记号为：</w:t>
      </w:r>
      <w:r>
        <w:rPr>
          <w:spacing w:val="-19"/>
          <w:w w:val="95"/>
        </w:rPr>
        <w:t>TCDR-  </w:t>
      </w:r>
      <w:r>
        <w:rPr/>
        <w:t>年份-单位代码加流水号。</w:t>
      </w:r>
    </w:p>
    <w:p>
      <w:pPr>
        <w:pStyle w:val="BodyText"/>
        <w:rPr>
          <w:sz w:val="36"/>
        </w:rPr>
      </w:pPr>
    </w:p>
    <w:p>
      <w:pPr>
        <w:pStyle w:val="BodyText"/>
        <w:rPr>
          <w:sz w:val="36"/>
        </w:rPr>
      </w:pPr>
    </w:p>
    <w:p>
      <w:pPr>
        <w:pStyle w:val="BodyText"/>
        <w:rPr>
          <w:sz w:val="36"/>
        </w:rPr>
      </w:pPr>
    </w:p>
    <w:p>
      <w:pPr>
        <w:pStyle w:val="BodyText"/>
        <w:spacing w:before="6"/>
        <w:rPr>
          <w:sz w:val="52"/>
        </w:rPr>
      </w:pPr>
    </w:p>
    <w:p>
      <w:pPr>
        <w:pStyle w:val="BodyText"/>
        <w:ind w:left="5180"/>
      </w:pPr>
      <w:r>
        <w:rPr/>
        <w:t>政府法制部门（印章）</w:t>
      </w:r>
    </w:p>
    <w:p>
      <w:pPr>
        <w:pStyle w:val="BodyText"/>
        <w:spacing w:before="112"/>
        <w:ind w:left="5501"/>
      </w:pPr>
      <w:r>
        <w:rPr>
          <w:rFonts w:ascii="Arial" w:hAnsi="Arial" w:eastAsia="Arial"/>
        </w:rPr>
        <w:t>××××</w:t>
      </w:r>
      <w:r>
        <w:rPr/>
        <w:t>年</w:t>
      </w:r>
      <w:r>
        <w:rPr>
          <w:rFonts w:ascii="Arial" w:hAnsi="Arial" w:eastAsia="Arial"/>
        </w:rPr>
        <w:t>××</w:t>
      </w:r>
      <w:r>
        <w:rPr/>
        <w:t>月</w:t>
      </w:r>
      <w:r>
        <w:rPr>
          <w:rFonts w:ascii="Arial" w:hAnsi="Arial" w:eastAsia="Arial"/>
        </w:rPr>
        <w:t>××</w:t>
      </w:r>
      <w:r>
        <w:rPr/>
        <w:t>日</w:t>
      </w:r>
    </w:p>
    <w:p>
      <w:pPr>
        <w:spacing w:after="0"/>
        <w:sectPr>
          <w:pgSz w:w="11910" w:h="16840"/>
          <w:pgMar w:header="0" w:footer="1294" w:top="1580" w:bottom="1480" w:left="148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4"/>
        </w:rPr>
      </w:pPr>
    </w:p>
    <w:p>
      <w:pPr>
        <w:pStyle w:val="BodyText"/>
        <w:spacing w:before="55"/>
        <w:ind w:left="221"/>
        <w:rPr>
          <w:rFonts w:ascii="黑体" w:eastAsia="黑体" w:hint="eastAsia"/>
        </w:rPr>
      </w:pPr>
      <w:r>
        <w:rPr>
          <w:rFonts w:ascii="黑体" w:eastAsia="黑体" w:hint="eastAsia"/>
        </w:rPr>
        <w:t>（四）备案报告格式</w:t>
      </w:r>
    </w:p>
    <w:p>
      <w:pPr>
        <w:pStyle w:val="BodyText"/>
        <w:rPr>
          <w:rFonts w:ascii="黑体"/>
        </w:rPr>
      </w:pPr>
    </w:p>
    <w:p>
      <w:pPr>
        <w:pStyle w:val="BodyText"/>
        <w:spacing w:before="6"/>
        <w:rPr>
          <w:rFonts w:ascii="黑体"/>
          <w:sz w:val="23"/>
        </w:rPr>
      </w:pPr>
    </w:p>
    <w:p>
      <w:pPr>
        <w:pStyle w:val="BodyText"/>
        <w:ind w:left="631" w:right="811"/>
        <w:jc w:val="center"/>
        <w:rPr>
          <w:rFonts w:ascii="黑体" w:hAnsi="黑体" w:eastAsia="黑体" w:hint="eastAsia"/>
        </w:rPr>
      </w:pPr>
      <w:r>
        <w:rPr>
          <w:rFonts w:ascii="黑体" w:hAnsi="黑体" w:eastAsia="黑体" w:hint="eastAsia"/>
        </w:rPr>
        <w:t>关于××××的备案报告</w:t>
      </w:r>
    </w:p>
    <w:p>
      <w:pPr>
        <w:pStyle w:val="BodyText"/>
        <w:spacing w:before="149"/>
        <w:ind w:left="631" w:right="811"/>
        <w:jc w:val="center"/>
        <w:rPr>
          <w:rFonts w:ascii="楷体" w:hAnsi="楷体" w:eastAsia="楷体" w:hint="eastAsia"/>
        </w:rPr>
      </w:pPr>
      <w:r>
        <w:rPr>
          <w:rFonts w:ascii="楷体" w:hAnsi="楷体" w:eastAsia="楷体" w:hint="eastAsia"/>
        </w:rPr>
        <w:t>××规备字〔××××〕××号</w:t>
      </w:r>
    </w:p>
    <w:p>
      <w:pPr>
        <w:pStyle w:val="BodyText"/>
        <w:rPr>
          <w:rFonts w:ascii="楷体"/>
        </w:rPr>
      </w:pPr>
    </w:p>
    <w:p>
      <w:pPr>
        <w:pStyle w:val="BodyText"/>
        <w:spacing w:before="3"/>
        <w:rPr>
          <w:rFonts w:ascii="楷体"/>
          <w:sz w:val="23"/>
        </w:rPr>
      </w:pPr>
    </w:p>
    <w:p>
      <w:pPr>
        <w:pStyle w:val="BodyText"/>
        <w:spacing w:before="1"/>
        <w:ind w:left="221"/>
      </w:pPr>
      <w:r>
        <w:rPr/>
        <w:t>县政府：</w:t>
      </w:r>
    </w:p>
    <w:p>
      <w:pPr>
        <w:pStyle w:val="BodyText"/>
        <w:spacing w:line="300" w:lineRule="auto" w:before="111"/>
        <w:ind w:left="221" w:right="397" w:firstLine="638"/>
        <w:rPr>
          <w:rFonts w:ascii="Arial" w:hAnsi="Arial" w:eastAsia="Arial"/>
        </w:rPr>
      </w:pPr>
      <w:r>
        <w:rPr/>
        <w:t>现将</w:t>
      </w:r>
      <w:r>
        <w:rPr>
          <w:rFonts w:ascii="Arial" w:hAnsi="Arial" w:eastAsia="Arial"/>
        </w:rPr>
        <w:t>××</w:t>
      </w:r>
      <w:r>
        <w:rPr/>
        <w:t>（报备机关名称）</w:t>
      </w:r>
      <w:r>
        <w:rPr>
          <w:rFonts w:ascii="Arial" w:hAnsi="Arial" w:eastAsia="Arial"/>
        </w:rPr>
        <w:t>××</w:t>
      </w:r>
      <w:r>
        <w:rPr/>
        <w:t>年</w:t>
      </w:r>
      <w:r>
        <w:rPr>
          <w:rFonts w:ascii="Arial" w:hAnsi="Arial" w:eastAsia="Arial"/>
        </w:rPr>
        <w:t>××</w:t>
      </w:r>
      <w:r>
        <w:rPr/>
        <w:t>月</w:t>
      </w:r>
      <w:r>
        <w:rPr>
          <w:rFonts w:ascii="Arial" w:hAnsi="Arial" w:eastAsia="Arial"/>
        </w:rPr>
        <w:t>××</w:t>
      </w:r>
      <w:r>
        <w:rPr/>
        <w:t>日公布，</w:t>
      </w:r>
      <w:r>
        <w:rPr>
          <w:rFonts w:ascii="Arial" w:hAnsi="Arial" w:eastAsia="Arial"/>
        </w:rPr>
        <w:t>××</w:t>
      </w:r>
      <w:r>
        <w:rPr/>
        <w:t>年</w:t>
      </w:r>
      <w:r>
        <w:rPr>
          <w:rFonts w:ascii="Arial" w:hAnsi="Arial" w:eastAsia="Arial"/>
        </w:rPr>
        <w:t>×× </w:t>
      </w:r>
      <w:r>
        <w:rPr/>
        <w:t>月</w:t>
      </w:r>
      <w:r>
        <w:rPr>
          <w:rFonts w:ascii="Arial" w:hAnsi="Arial" w:eastAsia="Arial"/>
        </w:rPr>
        <w:t>××</w:t>
      </w:r>
      <w:r>
        <w:rPr>
          <w:spacing w:val="-25"/>
        </w:rPr>
        <w:t>日起施行，登记编号 </w:t>
      </w:r>
      <w:r>
        <w:rPr>
          <w:rFonts w:ascii="Arial" w:hAnsi="Arial" w:eastAsia="Arial"/>
        </w:rPr>
        <w:t>TCDR-××××-××××××</w:t>
      </w:r>
      <w:r>
        <w:rPr>
          <w:spacing w:val="-63"/>
        </w:rPr>
        <w:t>的《</w:t>
      </w:r>
      <w:r>
        <w:rPr>
          <w:rFonts w:ascii="Arial" w:hAnsi="Arial" w:eastAsia="Arial"/>
        </w:rPr>
        <w:t>××××××××</w:t>
      </w:r>
    </w:p>
    <w:p>
      <w:pPr>
        <w:pStyle w:val="BodyText"/>
        <w:spacing w:line="300" w:lineRule="auto" w:before="2"/>
        <w:ind w:left="221" w:right="555"/>
      </w:pPr>
      <w:r>
        <w:rPr>
          <w:rFonts w:ascii="Arial" w:hAnsi="Arial" w:eastAsia="Arial"/>
          <w:w w:val="95"/>
        </w:rPr>
        <w:t>××</w:t>
      </w:r>
      <w:r>
        <w:rPr>
          <w:w w:val="95"/>
        </w:rPr>
        <w:t>（</w:t>
      </w:r>
      <w:r>
        <w:rPr>
          <w:rFonts w:ascii="Arial" w:hAnsi="Arial" w:eastAsia="Arial"/>
          <w:w w:val="95"/>
        </w:rPr>
        <w:t>××</w:t>
      </w:r>
      <w:r>
        <w:rPr>
          <w:w w:val="95"/>
        </w:rPr>
        <w:t>〔</w:t>
      </w:r>
      <w:r>
        <w:rPr>
          <w:rFonts w:ascii="Arial" w:hAnsi="Arial" w:eastAsia="Arial"/>
          <w:w w:val="95"/>
        </w:rPr>
        <w:t>××</w:t>
      </w:r>
      <w:r>
        <w:rPr>
          <w:w w:val="95"/>
        </w:rPr>
        <w:t>〕</w:t>
      </w:r>
      <w:r>
        <w:rPr>
          <w:rFonts w:ascii="Arial" w:hAnsi="Arial" w:eastAsia="Arial"/>
          <w:w w:val="95"/>
        </w:rPr>
        <w:t>×</w:t>
      </w:r>
      <w:r>
        <w:rPr>
          <w:w w:val="95"/>
        </w:rPr>
        <w:t>号）正式文本、起草说明和合法性审查报告 </w:t>
      </w:r>
      <w:r>
        <w:rPr/>
        <w:t>一式二份报请备案。</w:t>
      </w:r>
    </w:p>
    <w:p>
      <w:pPr>
        <w:pStyle w:val="BodyText"/>
        <w:rPr>
          <w:sz w:val="36"/>
        </w:rPr>
      </w:pPr>
    </w:p>
    <w:p>
      <w:pPr>
        <w:pStyle w:val="BodyText"/>
        <w:rPr>
          <w:sz w:val="36"/>
        </w:rPr>
      </w:pPr>
    </w:p>
    <w:p>
      <w:pPr>
        <w:pStyle w:val="BodyText"/>
        <w:rPr>
          <w:sz w:val="36"/>
        </w:rPr>
      </w:pPr>
    </w:p>
    <w:p>
      <w:pPr>
        <w:pStyle w:val="BodyText"/>
        <w:spacing w:before="4"/>
        <w:rPr>
          <w:sz w:val="52"/>
        </w:rPr>
      </w:pPr>
    </w:p>
    <w:p>
      <w:pPr>
        <w:pStyle w:val="BodyText"/>
        <w:ind w:left="5820"/>
      </w:pPr>
      <w:r>
        <w:rPr/>
        <w:t>报备机关（印章）</w:t>
      </w:r>
    </w:p>
    <w:p>
      <w:pPr>
        <w:spacing w:after="0"/>
        <w:sectPr>
          <w:pgSz w:w="11910" w:h="16840"/>
          <w:pgMar w:header="0" w:footer="1294" w:top="1580" w:bottom="1480" w:left="1480" w:right="1300"/>
        </w:sectPr>
      </w:pPr>
    </w:p>
    <w:p>
      <w:pPr>
        <w:pStyle w:val="BodyText"/>
        <w:spacing w:before="115"/>
        <w:ind w:left="5660"/>
      </w:pPr>
      <w:r>
        <w:rPr>
          <w:rFonts w:ascii="Arial" w:hAnsi="Arial" w:eastAsia="Arial"/>
        </w:rPr>
        <w:t>××××</w:t>
      </w:r>
      <w:r>
        <w:rPr/>
        <w:t>年</w:t>
      </w:r>
      <w:r>
        <w:rPr>
          <w:rFonts w:ascii="Arial" w:hAnsi="Arial" w:eastAsia="Arial"/>
        </w:rPr>
        <w:t>××</w:t>
      </w:r>
      <w:r>
        <w:rPr/>
        <w:t>月</w:t>
      </w:r>
      <w:r>
        <w:rPr>
          <w:rFonts w:ascii="Arial" w:hAnsi="Arial" w:eastAsia="Arial"/>
        </w:rPr>
        <w:t>××</w:t>
      </w:r>
      <w:r>
        <w:rPr/>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p>
    <w:p>
      <w:pPr>
        <w:pStyle w:val="BodyText"/>
        <w:spacing w:before="54"/>
        <w:ind w:left="221"/>
        <w:rPr>
          <w:rFonts w:ascii="黑体" w:eastAsia="黑体" w:hint="eastAsia"/>
        </w:rPr>
      </w:pPr>
      <w:r>
        <w:rPr>
          <w:rFonts w:ascii="黑体" w:eastAsia="黑体" w:hint="eastAsia"/>
        </w:rPr>
        <w:t>（五）起草说明格式</w:t>
      </w:r>
    </w:p>
    <w:p>
      <w:pPr>
        <w:pStyle w:val="BodyText"/>
        <w:spacing w:before="5"/>
        <w:rPr>
          <w:rFonts w:ascii="黑体"/>
          <w:sz w:val="39"/>
        </w:rPr>
      </w:pPr>
    </w:p>
    <w:p>
      <w:pPr>
        <w:pStyle w:val="Heading2"/>
      </w:pPr>
      <w:r>
        <w:rPr/>
        <w:t>关于××××的起草说明</w:t>
      </w:r>
    </w:p>
    <w:p>
      <w:pPr>
        <w:pStyle w:val="BodyText"/>
        <w:spacing w:before="15"/>
        <w:rPr>
          <w:rFonts w:ascii="方正小标宋简体"/>
          <w:sz w:val="30"/>
        </w:rPr>
      </w:pPr>
    </w:p>
    <w:p>
      <w:pPr>
        <w:pStyle w:val="BodyText"/>
        <w:spacing w:before="1"/>
        <w:ind w:left="221"/>
      </w:pPr>
      <w:r>
        <w:rPr/>
        <w:t>县政府法制局：</w:t>
      </w:r>
    </w:p>
    <w:p>
      <w:pPr>
        <w:pStyle w:val="BodyText"/>
        <w:spacing w:before="111"/>
        <w:ind w:left="860"/>
      </w:pPr>
      <w:r>
        <w:rPr/>
        <w:t>现将《</w:t>
      </w:r>
      <w:r>
        <w:rPr>
          <w:rFonts w:ascii="Arial" w:hAnsi="Arial" w:eastAsia="Arial"/>
        </w:rPr>
        <w:t>××××</w:t>
      </w:r>
      <w:r>
        <w:rPr/>
        <w:t>》(</w:t>
      </w:r>
      <w:r>
        <w:rPr>
          <w:rFonts w:ascii="Arial" w:hAnsi="Arial" w:eastAsia="Arial"/>
        </w:rPr>
        <w:t>×</w:t>
      </w:r>
      <w:r>
        <w:rPr/>
        <w:t>〔 </w:t>
      </w:r>
      <w:r>
        <w:rPr>
          <w:rFonts w:ascii="Arial" w:hAnsi="Arial" w:eastAsia="Arial"/>
        </w:rPr>
        <w:t>×××× </w:t>
      </w:r>
      <w:r>
        <w:rPr/>
        <w:t>〕</w:t>
      </w:r>
      <w:r>
        <w:rPr>
          <w:rFonts w:ascii="Arial" w:hAnsi="Arial" w:eastAsia="Arial"/>
        </w:rPr>
        <w:t>×</w:t>
      </w:r>
      <w:r>
        <w:rPr/>
        <w:t>号)的有关情况说明如下：</w:t>
      </w:r>
    </w:p>
    <w:p>
      <w:pPr>
        <w:pStyle w:val="BodyText"/>
        <w:spacing w:before="114"/>
        <w:ind w:left="860"/>
        <w:rPr>
          <w:rFonts w:ascii="黑体" w:eastAsia="黑体" w:hint="eastAsia"/>
        </w:rPr>
      </w:pPr>
      <w:r>
        <w:rPr>
          <w:rFonts w:ascii="黑体" w:eastAsia="黑体" w:hint="eastAsia"/>
        </w:rPr>
        <w:t>一、制定文件的必要性</w:t>
      </w:r>
    </w:p>
    <w:p>
      <w:pPr>
        <w:pStyle w:val="BodyText"/>
        <w:spacing w:line="300" w:lineRule="auto" w:before="150"/>
        <w:ind w:left="221" w:right="399" w:firstLine="638"/>
      </w:pPr>
      <w:r>
        <w:rPr>
          <w:spacing w:val="-10"/>
        </w:rPr>
        <w:t>包括该文件制定的背景、上级政策文件的要求、拟解决的主要问题等。</w:t>
      </w:r>
    </w:p>
    <w:p>
      <w:pPr>
        <w:pStyle w:val="BodyText"/>
        <w:spacing w:before="2"/>
        <w:ind w:left="860"/>
        <w:rPr>
          <w:rFonts w:ascii="黑体" w:eastAsia="黑体" w:hint="eastAsia"/>
        </w:rPr>
      </w:pPr>
      <w:r>
        <w:rPr>
          <w:rFonts w:ascii="黑体" w:eastAsia="黑体" w:hint="eastAsia"/>
        </w:rPr>
        <w:t>二、起草依据</w:t>
      </w:r>
    </w:p>
    <w:p>
      <w:pPr>
        <w:pStyle w:val="BodyText"/>
        <w:spacing w:line="300" w:lineRule="auto" w:before="149"/>
        <w:ind w:left="221" w:right="399" w:firstLine="638"/>
        <w:jc w:val="both"/>
      </w:pPr>
      <w:r>
        <w:rPr>
          <w:w w:val="95"/>
        </w:rPr>
        <w:t>该文件依据《</w:t>
      </w:r>
      <w:r>
        <w:rPr>
          <w:rFonts w:ascii="Arial" w:hAnsi="Arial" w:eastAsia="Arial"/>
          <w:w w:val="95"/>
        </w:rPr>
        <w:t>××××××</w:t>
      </w:r>
      <w:r>
        <w:rPr>
          <w:w w:val="95"/>
        </w:rPr>
        <w:t>》、《</w:t>
      </w:r>
      <w:r>
        <w:rPr>
          <w:rFonts w:ascii="Arial" w:hAnsi="Arial" w:eastAsia="Arial"/>
          <w:w w:val="95"/>
        </w:rPr>
        <w:t>×××××××</w:t>
      </w:r>
      <w:r>
        <w:rPr>
          <w:w w:val="95"/>
        </w:rPr>
        <w:t>》等制定。其中涉 </w:t>
      </w:r>
      <w:r>
        <w:rPr>
          <w:spacing w:val="-12"/>
          <w:w w:val="95"/>
        </w:rPr>
        <w:t>及到行政许可、行政处罚、行政强制和行政收费等依据作出专 </w:t>
      </w:r>
      <w:r>
        <w:rPr>
          <w:spacing w:val="-12"/>
        </w:rPr>
        <w:t>门说明。</w:t>
      </w:r>
    </w:p>
    <w:p>
      <w:pPr>
        <w:pStyle w:val="BodyText"/>
        <w:spacing w:before="2"/>
        <w:ind w:left="860"/>
        <w:rPr>
          <w:rFonts w:ascii="黑体" w:eastAsia="黑体" w:hint="eastAsia"/>
        </w:rPr>
      </w:pPr>
      <w:r>
        <w:rPr>
          <w:rFonts w:ascii="黑体" w:eastAsia="黑体" w:hint="eastAsia"/>
        </w:rPr>
        <w:t>三、起草过程</w:t>
      </w:r>
    </w:p>
    <w:p>
      <w:pPr>
        <w:pStyle w:val="BodyText"/>
        <w:spacing w:before="149"/>
        <w:ind w:left="860"/>
      </w:pPr>
      <w:r>
        <w:rPr/>
        <w:t>包括调研论证、征求意见、协调情况、听证、专家论证、</w:t>
      </w:r>
    </w:p>
    <w:p>
      <w:pPr>
        <w:spacing w:after="0"/>
        <w:sectPr>
          <w:pgSz w:w="11910" w:h="16840"/>
          <w:pgMar w:header="0" w:footer="1294" w:top="1580" w:bottom="1480" w:left="1480" w:right="1300"/>
        </w:sectPr>
      </w:pPr>
    </w:p>
    <w:p>
      <w:pPr>
        <w:pStyle w:val="BodyText"/>
        <w:spacing w:before="115"/>
        <w:ind w:left="221"/>
      </w:pPr>
      <w:r>
        <w:rPr/>
        <w:t>合法性审查、集体讨论决定等过程说明。</w:t>
      </w:r>
    </w:p>
    <w:p>
      <w:pPr>
        <w:pStyle w:val="BodyText"/>
        <w:spacing w:line="328" w:lineRule="auto" w:before="115"/>
        <w:ind w:left="860" w:right="3785"/>
        <w:rPr>
          <w:rFonts w:ascii="黑体" w:eastAsia="黑体" w:hint="eastAsia"/>
        </w:rPr>
      </w:pPr>
      <w:r>
        <w:rPr>
          <w:rFonts w:ascii="黑体" w:eastAsia="黑体" w:hint="eastAsia"/>
        </w:rPr>
        <w:t>四、主要内容或需要说明的问题五、关于施行日期的说明</w:t>
      </w:r>
    </w:p>
    <w:p>
      <w:pPr>
        <w:pStyle w:val="BodyText"/>
        <w:spacing w:line="300" w:lineRule="auto"/>
        <w:ind w:left="221" w:right="183" w:firstLine="638"/>
      </w:pPr>
      <w:r>
        <w:rPr/>
        <w:t>该文件的公布日期是</w:t>
      </w:r>
      <w:r>
        <w:rPr>
          <w:rFonts w:ascii="Arial" w:hAnsi="Arial" w:eastAsia="Arial"/>
        </w:rPr>
        <w:t>××××</w:t>
      </w:r>
      <w:r>
        <w:rPr/>
        <w:t>年</w:t>
      </w:r>
      <w:r>
        <w:rPr>
          <w:rFonts w:ascii="Arial" w:hAnsi="Arial" w:eastAsia="Arial"/>
        </w:rPr>
        <w:t>××</w:t>
      </w:r>
      <w:r>
        <w:rPr/>
        <w:t>月</w:t>
      </w:r>
      <w:r>
        <w:rPr>
          <w:rFonts w:ascii="Arial" w:hAnsi="Arial" w:eastAsia="Arial"/>
        </w:rPr>
        <w:t>××</w:t>
      </w:r>
      <w:r>
        <w:rPr>
          <w:spacing w:val="-21"/>
        </w:rPr>
        <w:t>日，施行日期是</w:t>
      </w:r>
      <w:r>
        <w:rPr>
          <w:rFonts w:ascii="Arial" w:hAnsi="Arial" w:eastAsia="Arial"/>
        </w:rPr>
        <w:t>×××× </w:t>
      </w:r>
      <w:r>
        <w:rPr/>
        <w:t>年</w:t>
      </w:r>
      <w:r>
        <w:rPr>
          <w:rFonts w:ascii="Arial" w:hAnsi="Arial" w:eastAsia="Arial"/>
        </w:rPr>
        <w:t>××</w:t>
      </w:r>
      <w:r>
        <w:rPr/>
        <w:t>月</w:t>
      </w:r>
      <w:r>
        <w:rPr>
          <w:rFonts w:ascii="Arial" w:hAnsi="Arial" w:eastAsia="Arial"/>
        </w:rPr>
        <w:t>××</w:t>
      </w:r>
      <w:r>
        <w:rPr>
          <w:spacing w:val="-79"/>
        </w:rPr>
        <w:t>日</w:t>
      </w:r>
      <w:r>
        <w:rPr/>
        <w:t>（</w:t>
      </w:r>
      <w:r>
        <w:rPr>
          <w:spacing w:val="-9"/>
        </w:rPr>
        <w:t>如果该文件公布未满 </w:t>
      </w:r>
      <w:r>
        <w:rPr/>
        <w:t>30</w:t>
      </w:r>
      <w:r>
        <w:rPr>
          <w:spacing w:val="-10"/>
        </w:rPr>
        <w:t> 日即施行应说明理由</w:t>
      </w:r>
      <w:r>
        <w:rPr>
          <w:spacing w:val="-79"/>
        </w:rPr>
        <w:t>）</w:t>
      </w:r>
      <w:r>
        <w:rPr/>
        <w:t>。</w:t>
      </w:r>
    </w:p>
    <w:p>
      <w:pPr>
        <w:pStyle w:val="BodyText"/>
        <w:spacing w:before="10"/>
        <w:rPr>
          <w:sz w:val="39"/>
        </w:rPr>
      </w:pPr>
    </w:p>
    <w:p>
      <w:pPr>
        <w:pStyle w:val="BodyText"/>
        <w:ind w:left="4967" w:right="854"/>
        <w:jc w:val="center"/>
      </w:pPr>
      <w:r>
        <w:rPr/>
        <w:t>起草部门（印章）</w:t>
      </w:r>
    </w:p>
    <w:p>
      <w:pPr>
        <w:pStyle w:val="BodyText"/>
        <w:spacing w:before="115"/>
        <w:ind w:left="4972" w:right="854"/>
        <w:jc w:val="center"/>
      </w:pPr>
      <w:r>
        <w:rPr>
          <w:rFonts w:ascii="Arial" w:hAnsi="Arial" w:eastAsia="Arial"/>
        </w:rPr>
        <w:t>××××</w:t>
      </w:r>
      <w:r>
        <w:rPr/>
        <w:t>年</w:t>
      </w:r>
      <w:r>
        <w:rPr>
          <w:rFonts w:ascii="Arial" w:hAnsi="Arial" w:eastAsia="Arial"/>
        </w:rPr>
        <w:t>××××</w:t>
      </w:r>
      <w:r>
        <w:rPr/>
        <w:t>月</w:t>
      </w:r>
      <w:r>
        <w:rPr>
          <w:rFonts w:ascii="Arial" w:hAnsi="Arial" w:eastAsia="Arial"/>
        </w:rPr>
        <w:t>××××</w:t>
      </w:r>
      <w:r>
        <w:rPr/>
        <w:t>日</w:t>
      </w:r>
    </w:p>
    <w:p>
      <w:pPr>
        <w:pStyle w:val="BodyText"/>
        <w:spacing w:before="1"/>
        <w:rPr>
          <w:sz w:val="48"/>
        </w:rPr>
      </w:pPr>
    </w:p>
    <w:p>
      <w:pPr>
        <w:pStyle w:val="BodyText"/>
        <w:spacing w:before="1"/>
        <w:ind w:left="221"/>
        <w:rPr>
          <w:rFonts w:ascii="黑体" w:eastAsia="黑体" w:hint="eastAsia"/>
        </w:rPr>
      </w:pPr>
      <w:r>
        <w:rPr>
          <w:rFonts w:ascii="黑体" w:eastAsia="黑体" w:hint="eastAsia"/>
        </w:rPr>
        <w:t>（六）合法性审查报告格式</w:t>
      </w:r>
    </w:p>
    <w:p>
      <w:pPr>
        <w:pStyle w:val="BodyText"/>
        <w:spacing w:before="4"/>
        <w:rPr>
          <w:rFonts w:ascii="黑体"/>
          <w:sz w:val="39"/>
        </w:rPr>
      </w:pPr>
    </w:p>
    <w:p>
      <w:pPr>
        <w:pStyle w:val="Heading2"/>
      </w:pPr>
      <w:r>
        <w:rPr/>
        <w:t>关于××××的合法性审查报告</w:t>
      </w:r>
    </w:p>
    <w:p>
      <w:pPr>
        <w:pStyle w:val="BodyText"/>
        <w:spacing w:before="15"/>
        <w:rPr>
          <w:rFonts w:ascii="方正小标宋简体"/>
          <w:sz w:val="30"/>
        </w:rPr>
      </w:pPr>
    </w:p>
    <w:p>
      <w:pPr>
        <w:pStyle w:val="BodyText"/>
        <w:spacing w:before="1"/>
        <w:ind w:left="221"/>
      </w:pPr>
      <w:r>
        <w:rPr/>
        <w:t>县政府：</w:t>
      </w:r>
    </w:p>
    <w:p>
      <w:pPr>
        <w:pStyle w:val="BodyText"/>
        <w:spacing w:line="300" w:lineRule="auto" w:before="111"/>
        <w:ind w:left="221" w:right="399" w:firstLine="638"/>
      </w:pPr>
      <w:r>
        <w:rPr>
          <w:rFonts w:ascii="Arial" w:hAnsi="Arial" w:eastAsia="Arial"/>
          <w:w w:val="95"/>
        </w:rPr>
        <w:t>××</w:t>
      </w:r>
      <w:r>
        <w:rPr>
          <w:w w:val="95"/>
        </w:rPr>
        <w:t>（起草单位名称</w:t>
      </w:r>
      <w:r>
        <w:rPr>
          <w:spacing w:val="-7"/>
          <w:w w:val="95"/>
        </w:rPr>
        <w:t>）</w:t>
      </w:r>
      <w:r>
        <w:rPr>
          <w:spacing w:val="-2"/>
          <w:w w:val="95"/>
        </w:rPr>
        <w:t>起草的《</w:t>
      </w:r>
      <w:r>
        <w:rPr>
          <w:rFonts w:ascii="Arial" w:hAnsi="Arial" w:eastAsia="Arial"/>
          <w:w w:val="95"/>
        </w:rPr>
        <w:t>××××××</w:t>
      </w:r>
      <w:r>
        <w:rPr>
          <w:spacing w:val="-3"/>
          <w:w w:val="95"/>
        </w:rPr>
        <w:t>》，已经我局合法 </w:t>
      </w:r>
      <w:r>
        <w:rPr>
          <w:spacing w:val="-3"/>
        </w:rPr>
        <w:t>性审查，现将有关情况报告如下：</w:t>
      </w:r>
    </w:p>
    <w:p>
      <w:pPr>
        <w:pStyle w:val="BodyText"/>
        <w:spacing w:before="2"/>
        <w:ind w:left="860"/>
        <w:rPr>
          <w:rFonts w:ascii="黑体" w:eastAsia="黑体" w:hint="eastAsia"/>
        </w:rPr>
      </w:pPr>
      <w:r>
        <w:rPr>
          <w:rFonts w:ascii="黑体" w:eastAsia="黑体" w:hint="eastAsia"/>
        </w:rPr>
        <w:t>一、审查过程</w:t>
      </w:r>
    </w:p>
    <w:p>
      <w:pPr>
        <w:pStyle w:val="BodyText"/>
        <w:spacing w:before="150"/>
        <w:ind w:left="860"/>
      </w:pPr>
      <w:r>
        <w:rPr/>
        <w:t>对审查过程和所做的工作进行描述。</w:t>
      </w:r>
    </w:p>
    <w:p>
      <w:pPr>
        <w:pStyle w:val="BodyText"/>
        <w:spacing w:before="114"/>
        <w:ind w:left="860"/>
        <w:rPr>
          <w:rFonts w:ascii="黑体" w:eastAsia="黑体" w:hint="eastAsia"/>
        </w:rPr>
      </w:pPr>
      <w:r>
        <w:rPr>
          <w:rFonts w:ascii="黑体" w:eastAsia="黑体" w:hint="eastAsia"/>
        </w:rPr>
        <w:t>二、合法性审查情况</w:t>
      </w:r>
    </w:p>
    <w:p>
      <w:pPr>
        <w:pStyle w:val="ListParagraph"/>
        <w:numPr>
          <w:ilvl w:val="0"/>
          <w:numId w:val="2"/>
        </w:numPr>
        <w:tabs>
          <w:tab w:pos="1199" w:val="left" w:leader="none"/>
        </w:tabs>
        <w:spacing w:line="300" w:lineRule="auto" w:before="149" w:after="0"/>
        <w:ind w:left="221" w:right="401" w:firstLine="638"/>
        <w:jc w:val="left"/>
        <w:rPr>
          <w:sz w:val="32"/>
        </w:rPr>
      </w:pPr>
      <w:r>
        <w:rPr>
          <w:spacing w:val="-15"/>
          <w:sz w:val="32"/>
        </w:rPr>
        <w:t>需对制定主体、权限、程序、内容、形式等方面是否合法逐一作出审查确认。</w:t>
      </w:r>
    </w:p>
    <w:p>
      <w:pPr>
        <w:pStyle w:val="ListParagraph"/>
        <w:numPr>
          <w:ilvl w:val="0"/>
          <w:numId w:val="2"/>
        </w:numPr>
        <w:tabs>
          <w:tab w:pos="1220" w:val="left" w:leader="none"/>
        </w:tabs>
        <w:spacing w:line="447" w:lineRule="exact" w:before="0" w:after="0"/>
        <w:ind w:left="1220" w:right="0" w:hanging="360"/>
        <w:jc w:val="left"/>
        <w:rPr>
          <w:sz w:val="32"/>
        </w:rPr>
      </w:pPr>
      <w:r>
        <w:rPr>
          <w:sz w:val="32"/>
        </w:rPr>
        <w:t>具体规定不合法的，提出明确意见，同时注明依据。</w:t>
      </w:r>
    </w:p>
    <w:p>
      <w:pPr>
        <w:spacing w:after="0" w:line="447" w:lineRule="exact"/>
        <w:jc w:val="left"/>
        <w:rPr>
          <w:sz w:val="32"/>
        </w:rPr>
        <w:sectPr>
          <w:pgSz w:w="11910" w:h="16840"/>
          <w:pgMar w:header="0" w:footer="1294" w:top="1580" w:bottom="1480" w:left="1480" w:right="1300"/>
        </w:sectPr>
      </w:pPr>
    </w:p>
    <w:p>
      <w:pPr>
        <w:pStyle w:val="BodyText"/>
        <w:rPr>
          <w:sz w:val="20"/>
        </w:rPr>
      </w:pPr>
    </w:p>
    <w:p>
      <w:pPr>
        <w:pStyle w:val="BodyText"/>
        <w:rPr>
          <w:sz w:val="20"/>
        </w:rPr>
      </w:pPr>
    </w:p>
    <w:p>
      <w:pPr>
        <w:pStyle w:val="BodyText"/>
        <w:rPr>
          <w:sz w:val="20"/>
        </w:rPr>
      </w:pPr>
    </w:p>
    <w:p>
      <w:pPr>
        <w:pStyle w:val="BodyText"/>
        <w:spacing w:before="6"/>
        <w:rPr>
          <w:sz w:val="25"/>
        </w:rPr>
      </w:pPr>
    </w:p>
    <w:p>
      <w:pPr>
        <w:pStyle w:val="BodyText"/>
        <w:spacing w:before="42"/>
        <w:ind w:left="5660"/>
      </w:pPr>
      <w:r>
        <w:rPr/>
        <w:t>报备机关（印章）</w:t>
      </w:r>
    </w:p>
    <w:p>
      <w:pPr>
        <w:pStyle w:val="BodyText"/>
        <w:spacing w:before="111"/>
        <w:ind w:left="5660"/>
      </w:pPr>
      <w:r>
        <w:rPr>
          <w:rFonts w:ascii="Arial" w:hAnsi="Arial" w:eastAsia="Arial"/>
        </w:rPr>
        <w:t>××××</w:t>
      </w:r>
      <w:r>
        <w:rPr/>
        <w:t>年</w:t>
      </w:r>
      <w:r>
        <w:rPr>
          <w:rFonts w:ascii="Arial" w:hAnsi="Arial" w:eastAsia="Arial"/>
        </w:rPr>
        <w:t>××</w:t>
      </w:r>
      <w:r>
        <w:rPr/>
        <w:t>月</w:t>
      </w:r>
      <w:r>
        <w:rPr>
          <w:rFonts w:ascii="Arial" w:hAnsi="Arial" w:eastAsia="Arial"/>
        </w:rPr>
        <w:t>××</w:t>
      </w:r>
      <w:r>
        <w:rPr/>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r>
        <w:rPr/>
        <w:pict>
          <v:line style="position:absolute;mso-position-horizontal-relative:page;mso-position-vertical-relative:paragraph;z-index:-251655168;mso-wrap-distance-left:0;mso-wrap-distance-right:0" from="85.050003pt,17.22578pt" to="526.050003pt,17.22578pt" stroked="true" strokeweight=".75pt" strokecolor="#000000">
            <v:stroke dashstyle="solid"/>
            <w10:wrap type="topAndBottom"/>
          </v:line>
        </w:pict>
      </w:r>
    </w:p>
    <w:p>
      <w:pPr>
        <w:tabs>
          <w:tab w:pos="6120" w:val="left" w:leader="none"/>
        </w:tabs>
        <w:spacing w:before="119" w:after="68"/>
        <w:ind w:left="380" w:right="0" w:firstLine="0"/>
        <w:jc w:val="left"/>
        <w:rPr>
          <w:sz w:val="28"/>
        </w:rPr>
      </w:pPr>
      <w:r>
        <w:rPr>
          <w:sz w:val="28"/>
        </w:rPr>
        <w:t>郯</w:t>
      </w:r>
      <w:r>
        <w:rPr>
          <w:spacing w:val="-3"/>
          <w:sz w:val="28"/>
        </w:rPr>
        <w:t>城</w:t>
      </w:r>
      <w:r>
        <w:rPr>
          <w:sz w:val="28"/>
        </w:rPr>
        <w:t>县人</w:t>
      </w:r>
      <w:r>
        <w:rPr>
          <w:spacing w:val="-3"/>
          <w:sz w:val="28"/>
        </w:rPr>
        <w:t>民</w:t>
      </w:r>
      <w:r>
        <w:rPr>
          <w:sz w:val="28"/>
        </w:rPr>
        <w:t>政府</w:t>
      </w:r>
      <w:r>
        <w:rPr>
          <w:spacing w:val="-3"/>
          <w:sz w:val="28"/>
        </w:rPr>
        <w:t>办</w:t>
      </w:r>
      <w:r>
        <w:rPr>
          <w:sz w:val="28"/>
        </w:rPr>
        <w:t>公室</w:t>
        <w:tab/>
        <w:t>2018</w:t>
      </w:r>
      <w:r>
        <w:rPr>
          <w:spacing w:val="-80"/>
          <w:sz w:val="28"/>
        </w:rPr>
        <w:t> </w:t>
      </w:r>
      <w:r>
        <w:rPr>
          <w:sz w:val="28"/>
        </w:rPr>
        <w:t>年</w:t>
      </w:r>
      <w:r>
        <w:rPr>
          <w:spacing w:val="-78"/>
          <w:sz w:val="28"/>
        </w:rPr>
        <w:t> </w:t>
      </w:r>
      <w:r>
        <w:rPr>
          <w:sz w:val="28"/>
        </w:rPr>
        <w:t>2</w:t>
      </w:r>
      <w:r>
        <w:rPr>
          <w:spacing w:val="-81"/>
          <w:sz w:val="28"/>
        </w:rPr>
        <w:t> </w:t>
      </w:r>
      <w:r>
        <w:rPr>
          <w:sz w:val="28"/>
        </w:rPr>
        <w:t>月</w:t>
      </w:r>
      <w:r>
        <w:rPr>
          <w:spacing w:val="-78"/>
          <w:sz w:val="28"/>
        </w:rPr>
        <w:t> </w:t>
      </w:r>
      <w:r>
        <w:rPr>
          <w:sz w:val="28"/>
        </w:rPr>
        <w:t>23</w:t>
      </w:r>
      <w:r>
        <w:rPr>
          <w:spacing w:val="-77"/>
          <w:sz w:val="28"/>
        </w:rPr>
        <w:t> </w:t>
      </w:r>
      <w:r>
        <w:rPr>
          <w:sz w:val="28"/>
        </w:rPr>
        <w:t>日</w:t>
      </w:r>
      <w:r>
        <w:rPr>
          <w:spacing w:val="-3"/>
          <w:sz w:val="28"/>
        </w:rPr>
        <w:t>印</w:t>
      </w:r>
      <w:r>
        <w:rPr>
          <w:sz w:val="28"/>
        </w:rPr>
        <w:t>发</w:t>
      </w:r>
    </w:p>
    <w:p>
      <w:pPr>
        <w:pStyle w:val="BodyText"/>
        <w:spacing w:line="20" w:lineRule="exact"/>
        <w:ind w:left="213"/>
        <w:rPr>
          <w:sz w:val="2"/>
        </w:rPr>
      </w:pPr>
      <w:r>
        <w:rPr>
          <w:sz w:val="2"/>
        </w:rPr>
        <w:pict>
          <v:group style="width:441pt;height:.75pt;mso-position-horizontal-relative:char;mso-position-vertical-relative:line" coordorigin="0,0" coordsize="8820,15">
            <v:line style="position:absolute" from="0,8" to="8820,8" stroked="true" strokeweight=".75pt" strokecolor="#000000">
              <v:stroke dashstyle="solid"/>
            </v:line>
          </v:group>
        </w:pict>
      </w:r>
      <w:r>
        <w:rPr>
          <w:sz w:val="2"/>
        </w:rPr>
      </w:r>
    </w:p>
    <w:p>
      <w:pPr>
        <w:pStyle w:val="BodyText"/>
        <w:spacing w:before="104"/>
        <w:ind w:left="221"/>
        <w:rPr>
          <w:rFonts w:ascii="黑体"/>
        </w:rPr>
      </w:pPr>
      <w:r>
        <w:rPr>
          <w:rFonts w:ascii="黑体"/>
        </w:rPr>
        <w:t>TCDR-2018-001002</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2"/>
        <w:rPr>
          <w:rFonts w:ascii="黑体"/>
          <w:sz w:val="20"/>
        </w:rPr>
      </w:pPr>
      <w:r>
        <w:rPr/>
        <w:pict>
          <v:group style="position:absolute;margin-left:106.911003pt;margin-top:15.531pt;width:168.15pt;height:63.2pt;mso-position-horizontal-relative:page;mso-position-vertical-relative:paragraph;z-index:-251653120;mso-wrap-distance-left:0;mso-wrap-distance-right:0" coordorigin="2138,311" coordsize="3363,1264">
            <v:shape style="position:absolute;left:2138;top:312;width:799;height:1258" type="#_x0000_t75" stroked="false">
              <v:imagedata r:id="rId19" o:title=""/>
            </v:shape>
            <v:shape style="position:absolute;left:2983;top:310;width:805;height:1264" type="#_x0000_t75" stroked="false">
              <v:imagedata r:id="rId20" o:title=""/>
            </v:shape>
            <v:shape style="position:absolute;left:3839;top:334;width:812;height:1204" type="#_x0000_t75" stroked="false">
              <v:imagedata r:id="rId21" o:title=""/>
            </v:shape>
            <v:shape style="position:absolute;left:4700;top:318;width:800;height:1234" type="#_x0000_t75" stroked="false">
              <v:imagedata r:id="rId22" o:title=""/>
            </v:shape>
            <w10:wrap type="topAndBottom"/>
          </v:group>
        </w:pict>
      </w:r>
      <w:r>
        <w:rPr/>
        <w:pict>
          <v:group style="position:absolute;margin-left:281.462006pt;margin-top:14.894pt;width:207.3pt;height:64.3500pt;mso-position-horizontal-relative:page;mso-position-vertical-relative:paragraph;z-index:-251652096;mso-wrap-distance-left:0;mso-wrap-distance-right:0" coordorigin="5629,298" coordsize="4146,1287">
            <v:shape style="position:absolute;left:5629;top:344;width:709;height:1204" type="#_x0000_t75" stroked="false">
              <v:imagedata r:id="rId23" o:title=""/>
            </v:shape>
            <v:shape style="position:absolute;left:6395;top:297;width:813;height:1264" type="#_x0000_t75" stroked="false">
              <v:imagedata r:id="rId24" o:title=""/>
            </v:shape>
            <v:shape style="position:absolute;left:7250;top:301;width:817;height:1282" type="#_x0000_t75" stroked="false">
              <v:imagedata r:id="rId25" o:title=""/>
            </v:shape>
            <v:shape style="position:absolute;left:8114;top:327;width:797;height:1228" type="#_x0000_t75" stroked="false">
              <v:imagedata r:id="rId26" o:title=""/>
            </v:shape>
            <v:shape style="position:absolute;left:8957;top:301;width:817;height:1278" type="#_x0000_t75" stroked="false">
              <v:imagedata r:id="rId27" o:title=""/>
            </v:shape>
            <w10:wrap type="topAndBottom"/>
          </v:group>
        </w:pic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0"/>
        <w:rPr>
          <w:rFonts w:ascii="黑体"/>
          <w:sz w:val="24"/>
        </w:rPr>
      </w:pPr>
    </w:p>
    <w:p>
      <w:pPr>
        <w:pStyle w:val="BodyText"/>
        <w:spacing w:before="55"/>
        <w:ind w:left="631" w:right="808"/>
        <w:jc w:val="center"/>
      </w:pPr>
      <w:r>
        <w:rPr/>
        <w:pict>
          <v:line style="position:absolute;mso-position-horizontal-relative:page;mso-position-vertical-relative:paragraph;z-index:251665408" from="85.050003pt,29.110004pt" to="535.050003pt,29.110004pt" stroked="true" strokeweight="1.25pt" strokecolor="#ff0000">
            <v:stroke dashstyle="solid"/>
            <w10:wrap type="none"/>
          </v:line>
        </w:pict>
      </w:r>
      <w:r>
        <w:rPr>
          <w:rFonts w:ascii="仿宋_GB2312" w:eastAsia="仿宋_GB2312" w:hint="eastAsia"/>
        </w:rPr>
        <w:t>郯政发</w:t>
      </w:r>
      <w:r>
        <w:rPr/>
        <w:t>〔2018〕8 号</w:t>
      </w:r>
    </w:p>
    <w:p>
      <w:pPr>
        <w:pStyle w:val="BodyText"/>
        <w:spacing w:before="10"/>
        <w:rPr>
          <w:sz w:val="51"/>
        </w:rPr>
      </w:pPr>
    </w:p>
    <w:p>
      <w:pPr>
        <w:pStyle w:val="Heading2"/>
        <w:spacing w:line="665" w:lineRule="exact"/>
        <w:ind w:right="808"/>
      </w:pPr>
      <w:r>
        <w:rPr/>
        <w:t>郯城县人民政府</w:t>
      </w:r>
    </w:p>
    <w:p>
      <w:pPr>
        <w:spacing w:line="665" w:lineRule="exact" w:before="0"/>
        <w:ind w:left="0" w:right="180" w:firstLine="0"/>
        <w:jc w:val="center"/>
        <w:rPr>
          <w:rFonts w:ascii="方正小标宋简体" w:eastAsia="方正小标宋简体" w:hint="eastAsia"/>
          <w:sz w:val="44"/>
        </w:rPr>
      </w:pPr>
      <w:r>
        <w:rPr>
          <w:rFonts w:ascii="方正小标宋简体" w:eastAsia="方正小标宋简体" w:hint="eastAsia"/>
          <w:sz w:val="44"/>
        </w:rPr>
        <w:t>关于印发郯城县政府合同管理暂行办法的通</w:t>
      </w:r>
    </w:p>
    <w:p>
      <w:pPr>
        <w:spacing w:after="0" w:line="665" w:lineRule="exact"/>
        <w:jc w:val="center"/>
        <w:rPr>
          <w:rFonts w:ascii="方正小标宋简体" w:eastAsia="方正小标宋简体" w:hint="eastAsia"/>
          <w:sz w:val="44"/>
        </w:rPr>
        <w:sectPr>
          <w:pgSz w:w="11910" w:h="16840"/>
          <w:pgMar w:header="0" w:footer="1294" w:top="1580" w:bottom="1480" w:left="1480" w:right="1300"/>
        </w:sectPr>
      </w:pPr>
    </w:p>
    <w:p>
      <w:pPr>
        <w:spacing w:line="730" w:lineRule="exact" w:before="0"/>
        <w:ind w:left="0" w:right="177" w:firstLine="0"/>
        <w:jc w:val="center"/>
        <w:rPr>
          <w:rFonts w:ascii="方正小标宋简体" w:eastAsia="方正小标宋简体" w:hint="eastAsia"/>
          <w:sz w:val="44"/>
        </w:rPr>
      </w:pPr>
      <w:r>
        <w:rPr>
          <w:rFonts w:ascii="方正小标宋简体" w:eastAsia="方正小标宋简体" w:hint="eastAsia"/>
          <w:w w:val="99"/>
          <w:sz w:val="44"/>
        </w:rPr>
        <w:t>知</w:t>
      </w:r>
    </w:p>
    <w:p>
      <w:pPr>
        <w:pStyle w:val="BodyText"/>
        <w:spacing w:before="13"/>
        <w:rPr>
          <w:rFonts w:ascii="方正小标宋简体"/>
        </w:rPr>
      </w:pPr>
    </w:p>
    <w:p>
      <w:pPr>
        <w:pStyle w:val="BodyText"/>
        <w:spacing w:line="350" w:lineRule="auto"/>
        <w:ind w:left="221" w:right="399"/>
        <w:jc w:val="both"/>
        <w:rPr>
          <w:rFonts w:ascii="仿宋" w:eastAsia="仿宋" w:hint="eastAsia"/>
        </w:rPr>
      </w:pPr>
      <w:r>
        <w:rPr>
          <w:rFonts w:ascii="仿宋" w:eastAsia="仿宋" w:hint="eastAsia"/>
          <w:spacing w:val="-11"/>
        </w:rPr>
        <w:t>各乡镇人民政府、郯城街道办事处，县直各部门，科级以上事</w:t>
      </w:r>
      <w:r>
        <w:rPr>
          <w:rFonts w:ascii="仿宋" w:eastAsia="仿宋" w:hint="eastAsia"/>
          <w:spacing w:val="-12"/>
          <w:w w:val="95"/>
        </w:rPr>
        <w:t>业单位，省、市直驻郯各单位，郯城经济开发区管委会、马陵 </w:t>
      </w:r>
      <w:r>
        <w:rPr>
          <w:rFonts w:ascii="仿宋" w:eastAsia="仿宋" w:hint="eastAsia"/>
          <w:spacing w:val="-12"/>
        </w:rPr>
        <w:t>山景区管委会、新村银杏产业开发区管委会：</w:t>
      </w:r>
    </w:p>
    <w:p>
      <w:pPr>
        <w:pStyle w:val="BodyText"/>
        <w:spacing w:line="350" w:lineRule="auto" w:before="5"/>
        <w:ind w:left="221" w:right="399" w:firstLine="638"/>
        <w:rPr>
          <w:rFonts w:ascii="仿宋" w:eastAsia="仿宋" w:hint="eastAsia"/>
        </w:rPr>
      </w:pPr>
      <w:r>
        <w:rPr>
          <w:rFonts w:ascii="仿宋" w:eastAsia="仿宋" w:hint="eastAsia"/>
          <w:spacing w:val="-12"/>
          <w:w w:val="95"/>
        </w:rPr>
        <w:t>现将《郯城县政府合同管理暂行办法》印发给你们，请认 </w:t>
      </w:r>
      <w:r>
        <w:rPr>
          <w:rFonts w:ascii="仿宋" w:eastAsia="仿宋" w:hint="eastAsia"/>
          <w:spacing w:val="-12"/>
        </w:rPr>
        <w:t>真贯彻遵照执行。</w:t>
      </w:r>
    </w:p>
    <w:p>
      <w:pPr>
        <w:pStyle w:val="BodyText"/>
        <w:spacing w:before="3"/>
        <w:rPr>
          <w:rFonts w:ascii="仿宋"/>
          <w:sz w:val="41"/>
        </w:rPr>
      </w:pPr>
    </w:p>
    <w:p>
      <w:pPr>
        <w:pStyle w:val="BodyText"/>
        <w:spacing w:line="300" w:lineRule="auto"/>
        <w:ind w:left="6344" w:right="398" w:firstLine="141"/>
        <w:jc w:val="right"/>
      </w:pPr>
      <w:r>
        <w:rPr>
          <w:spacing w:val="-3"/>
          <w:w w:val="95"/>
        </w:rPr>
        <w:t>郯城县人民政府</w:t>
      </w:r>
      <w:r>
        <w:rPr/>
        <w:t>2018</w:t>
      </w:r>
      <w:r>
        <w:rPr>
          <w:spacing w:val="-54"/>
        </w:rPr>
        <w:t> 年 </w:t>
      </w:r>
      <w:r>
        <w:rPr/>
        <w:t>6</w:t>
      </w:r>
      <w:r>
        <w:rPr>
          <w:spacing w:val="-55"/>
        </w:rPr>
        <w:t> 月 </w:t>
      </w:r>
      <w:r>
        <w:rPr/>
        <w:t>20</w:t>
      </w:r>
      <w:r>
        <w:rPr>
          <w:spacing w:val="-48"/>
        </w:rPr>
        <w:t> 日</w:t>
      </w:r>
    </w:p>
    <w:p>
      <w:pPr>
        <w:pStyle w:val="Heading2"/>
        <w:spacing w:line="576" w:lineRule="exact"/>
      </w:pPr>
      <w:r>
        <w:rPr/>
        <w:t>郯城县政府合同管理暂行办法</w:t>
      </w:r>
    </w:p>
    <w:p>
      <w:pPr>
        <w:pStyle w:val="BodyText"/>
        <w:spacing w:before="15"/>
        <w:rPr>
          <w:rFonts w:ascii="方正小标宋简体"/>
          <w:sz w:val="30"/>
        </w:rPr>
      </w:pPr>
    </w:p>
    <w:p>
      <w:pPr>
        <w:pStyle w:val="BodyText"/>
        <w:tabs>
          <w:tab w:pos="1439" w:val="left" w:leader="none"/>
          <w:tab w:pos="2239" w:val="left" w:leader="none"/>
        </w:tabs>
        <w:ind w:right="180"/>
        <w:jc w:val="center"/>
        <w:rPr>
          <w:rFonts w:ascii="黑体" w:eastAsia="黑体" w:hint="eastAsia"/>
        </w:rPr>
      </w:pPr>
      <w:r>
        <w:rPr>
          <w:rFonts w:ascii="黑体" w:eastAsia="黑体" w:hint="eastAsia"/>
        </w:rPr>
        <w:t>第一章</w:t>
        <w:tab/>
        <w:t>总</w:t>
        <w:tab/>
        <w:t>则</w:t>
      </w:r>
    </w:p>
    <w:p>
      <w:pPr>
        <w:pStyle w:val="BodyText"/>
        <w:rPr>
          <w:rFonts w:ascii="黑体"/>
        </w:rPr>
      </w:pPr>
    </w:p>
    <w:p>
      <w:pPr>
        <w:pStyle w:val="BodyText"/>
        <w:spacing w:before="6"/>
        <w:rPr>
          <w:rFonts w:ascii="黑体"/>
          <w:sz w:val="23"/>
        </w:rPr>
      </w:pPr>
    </w:p>
    <w:p>
      <w:pPr>
        <w:pStyle w:val="BodyText"/>
        <w:tabs>
          <w:tab w:pos="2304" w:val="left" w:leader="none"/>
        </w:tabs>
        <w:spacing w:line="300" w:lineRule="auto"/>
        <w:ind w:left="221" w:right="266" w:firstLine="638"/>
      </w:pPr>
      <w:r>
        <w:rPr>
          <w:rFonts w:ascii="楷体" w:eastAsia="楷体" w:hint="eastAsia"/>
        </w:rPr>
        <w:t>第一条</w:t>
        <w:tab/>
      </w:r>
      <w:r>
        <w:rPr/>
        <w:t>为规范政府合同管理，防范合同风险，保障国有资产、财政资金的安全和自然资源、公共资源的有效利用</w:t>
      </w:r>
      <w:r>
        <w:rPr>
          <w:spacing w:val="-11"/>
        </w:rPr>
        <w:t>， </w:t>
      </w:r>
      <w:r>
        <w:rPr/>
        <w:t>根</w:t>
      </w:r>
      <w:r>
        <w:rPr>
          <w:spacing w:val="-27"/>
        </w:rPr>
        <w:t>据</w:t>
      </w:r>
      <w:r>
        <w:rPr/>
        <w:t>《中华人民共和国合同法</w:t>
      </w:r>
      <w:r>
        <w:rPr>
          <w:spacing w:val="-27"/>
        </w:rPr>
        <w:t>》</w:t>
      </w:r>
      <w:r>
        <w:rPr/>
        <w:t>等有关法律</w:t>
      </w:r>
      <w:r>
        <w:rPr>
          <w:spacing w:val="-27"/>
        </w:rPr>
        <w:t>、</w:t>
      </w:r>
      <w:r>
        <w:rPr/>
        <w:t>法规</w:t>
      </w:r>
      <w:r>
        <w:rPr>
          <w:spacing w:val="-27"/>
        </w:rPr>
        <w:t>、</w:t>
      </w:r>
      <w:r>
        <w:rPr/>
        <w:t>规章</w:t>
      </w:r>
      <w:r>
        <w:rPr>
          <w:spacing w:val="-27"/>
        </w:rPr>
        <w:t>，</w:t>
      </w:r>
      <w:r>
        <w:rPr/>
        <w:t>结合我县实际，制定本办法。</w:t>
      </w:r>
    </w:p>
    <w:p>
      <w:pPr>
        <w:pStyle w:val="BodyText"/>
        <w:tabs>
          <w:tab w:pos="2304" w:val="left" w:leader="none"/>
        </w:tabs>
        <w:spacing w:line="300" w:lineRule="auto" w:before="2"/>
        <w:ind w:left="221" w:right="266" w:firstLine="638"/>
      </w:pPr>
      <w:r>
        <w:rPr>
          <w:rFonts w:ascii="楷体" w:eastAsia="楷体" w:hint="eastAsia"/>
        </w:rPr>
        <w:t>第二条</w:t>
        <w:tab/>
      </w:r>
      <w:r>
        <w:rPr/>
        <w:t>本办法所称政府合同，是指县政府及其工作部门在行政管理</w:t>
      </w:r>
      <w:r>
        <w:rPr>
          <w:spacing w:val="-67"/>
        </w:rPr>
        <w:t>、</w:t>
      </w:r>
      <w:r>
        <w:rPr/>
        <w:t>公共服务以及民事经济活动中</w:t>
      </w:r>
      <w:r>
        <w:rPr>
          <w:spacing w:val="-67"/>
        </w:rPr>
        <w:t>，</w:t>
      </w:r>
      <w:r>
        <w:rPr/>
        <w:t>作为一方当事人所订立的合同、协议以及涉及双方权利义务关系的意向书</w:t>
      </w:r>
      <w:r>
        <w:rPr>
          <w:spacing w:val="-11"/>
        </w:rPr>
        <w:t>、</w:t>
      </w:r>
      <w:r>
        <w:rPr/>
        <w:t>承诺书、备忘录、框架协议书等具有契约性的法律文件。</w:t>
      </w:r>
    </w:p>
    <w:p>
      <w:pPr>
        <w:pStyle w:val="BodyText"/>
        <w:spacing w:before="2"/>
        <w:ind w:left="860"/>
      </w:pPr>
      <w:r>
        <w:rPr/>
        <w:t>主要包括以下类型：</w:t>
      </w:r>
    </w:p>
    <w:p>
      <w:pPr>
        <w:spacing w:after="0"/>
        <w:sectPr>
          <w:pgSz w:w="11910" w:h="16840"/>
          <w:pgMar w:header="0" w:footer="1294" w:top="1540" w:bottom="1480" w:left="1480" w:right="1300"/>
        </w:sectPr>
      </w:pPr>
    </w:p>
    <w:p>
      <w:pPr>
        <w:pStyle w:val="BodyText"/>
        <w:spacing w:line="300" w:lineRule="auto" w:before="115"/>
        <w:ind w:left="221" w:right="386" w:firstLine="638"/>
      </w:pPr>
      <w:r>
        <w:rPr/>
        <w:t>（一）城市基础设施等国有资产(包括无形资产)的投资、建设、租赁、承包、托管、出借、转让、物业管理等合同；</w:t>
      </w:r>
    </w:p>
    <w:p>
      <w:pPr>
        <w:pStyle w:val="BodyText"/>
        <w:spacing w:line="300" w:lineRule="auto" w:before="3"/>
        <w:ind w:left="221" w:right="399" w:firstLine="638"/>
      </w:pPr>
      <w:r>
        <w:rPr>
          <w:w w:val="95"/>
        </w:rPr>
        <w:t>（二</w:t>
      </w:r>
      <w:r>
        <w:rPr>
          <w:spacing w:val="-22"/>
          <w:w w:val="95"/>
        </w:rPr>
        <w:t>）</w:t>
      </w:r>
      <w:r>
        <w:rPr>
          <w:spacing w:val="-12"/>
          <w:w w:val="95"/>
        </w:rPr>
        <w:t>土地、森林、荒地、水流、滩涂、矿藏等国有自然 </w:t>
      </w:r>
      <w:r>
        <w:rPr>
          <w:spacing w:val="-12"/>
        </w:rPr>
        <w:t>资源使用权的依法出让、转让、出租、承包合同；</w:t>
      </w:r>
    </w:p>
    <w:p>
      <w:pPr>
        <w:pStyle w:val="BodyText"/>
        <w:spacing w:before="2"/>
        <w:ind w:left="860"/>
      </w:pPr>
      <w:r>
        <w:rPr/>
        <w:t>（三）行政征收、征用、委托合同；</w:t>
      </w:r>
    </w:p>
    <w:p>
      <w:pPr>
        <w:pStyle w:val="BodyText"/>
        <w:spacing w:before="111"/>
        <w:ind w:left="860"/>
      </w:pPr>
      <w:r>
        <w:rPr/>
        <w:t>（四）借款、资助、补贴等合同；</w:t>
      </w:r>
    </w:p>
    <w:p>
      <w:pPr>
        <w:pStyle w:val="BodyText"/>
        <w:spacing w:before="112"/>
        <w:ind w:left="860"/>
      </w:pPr>
      <w:r>
        <w:rPr/>
        <w:t>（五</w:t>
      </w:r>
      <w:r>
        <w:rPr>
          <w:spacing w:val="-147"/>
        </w:rPr>
        <w:t>）</w:t>
      </w:r>
      <w:r>
        <w:rPr>
          <w:spacing w:val="-13"/>
        </w:rPr>
        <w:t>政府特许经营合同、政府和社会资本合作项目合同；</w:t>
      </w:r>
    </w:p>
    <w:p>
      <w:pPr>
        <w:pStyle w:val="BodyText"/>
        <w:spacing w:before="114"/>
        <w:ind w:left="860"/>
      </w:pPr>
      <w:r>
        <w:rPr>
          <w:w w:val="95"/>
        </w:rPr>
        <w:t>（六）招商引资合同；</w:t>
      </w:r>
    </w:p>
    <w:p>
      <w:pPr>
        <w:pStyle w:val="BodyText"/>
        <w:spacing w:before="112"/>
        <w:ind w:left="860"/>
      </w:pPr>
      <w:r>
        <w:rPr>
          <w:w w:val="95"/>
        </w:rPr>
        <w:t>（七）其他政府合同。</w:t>
      </w:r>
    </w:p>
    <w:p>
      <w:pPr>
        <w:pStyle w:val="BodyText"/>
        <w:tabs>
          <w:tab w:pos="2304" w:val="left" w:leader="none"/>
        </w:tabs>
        <w:spacing w:line="300" w:lineRule="auto" w:before="114"/>
        <w:ind w:left="221" w:right="266" w:firstLine="638"/>
      </w:pPr>
      <w:r>
        <w:rPr>
          <w:rFonts w:ascii="楷体" w:eastAsia="楷体" w:hint="eastAsia"/>
        </w:rPr>
        <w:t>第三条</w:t>
        <w:tab/>
      </w:r>
      <w:r>
        <w:rPr/>
        <w:t>政府合同的磋商、起草、合法性审查、订立以及履行等活动，适用本办法。法律、法规、规章另有规定的</w:t>
      </w:r>
      <w:r>
        <w:rPr>
          <w:spacing w:val="-11"/>
        </w:rPr>
        <w:t>， </w:t>
      </w:r>
      <w:r>
        <w:rPr/>
        <w:t>从其规定。</w:t>
      </w:r>
    </w:p>
    <w:p>
      <w:pPr>
        <w:pStyle w:val="BodyText"/>
        <w:spacing w:line="300" w:lineRule="auto"/>
        <w:ind w:left="221" w:right="399" w:firstLine="638"/>
        <w:jc w:val="both"/>
      </w:pPr>
      <w:r>
        <w:rPr>
          <w:spacing w:val="-9"/>
        </w:rPr>
        <w:t>行政机关与其工作人员所签订的聘用、聘任等人事管理合</w:t>
      </w:r>
      <w:r>
        <w:rPr>
          <w:spacing w:val="-13"/>
          <w:w w:val="95"/>
        </w:rPr>
        <w:t>同，行政机关之间基于特定行政目的以及因应对突发事件而采 </w:t>
      </w:r>
      <w:r>
        <w:rPr>
          <w:spacing w:val="-13"/>
        </w:rPr>
        <w:t>取应急措施订立政府合同不适用本办法。</w:t>
      </w:r>
    </w:p>
    <w:p>
      <w:pPr>
        <w:pStyle w:val="BodyText"/>
        <w:spacing w:line="300" w:lineRule="auto" w:before="4"/>
        <w:ind w:left="221" w:right="401" w:firstLine="638"/>
        <w:jc w:val="both"/>
      </w:pPr>
      <w:r>
        <w:rPr>
          <w:rFonts w:ascii="楷体" w:eastAsia="楷体" w:hint="eastAsia"/>
          <w:spacing w:val="2"/>
        </w:rPr>
        <w:t>第四条  </w:t>
      </w:r>
      <w:r>
        <w:rPr/>
        <w:t>政府合同的订立和履行遵循合法、审慎、公平</w:t>
      </w:r>
      <w:r>
        <w:rPr>
          <w:spacing w:val="-12"/>
          <w:w w:val="95"/>
        </w:rPr>
        <w:t>和诚实信用的原则，保障国有资产、财政资金的安全和自然资 </w:t>
      </w:r>
      <w:r>
        <w:rPr>
          <w:spacing w:val="-12"/>
        </w:rPr>
        <w:t>源、公共资源的有效利用。</w:t>
      </w:r>
    </w:p>
    <w:p>
      <w:pPr>
        <w:pStyle w:val="BodyText"/>
        <w:spacing w:line="300" w:lineRule="auto"/>
        <w:ind w:left="221" w:right="401" w:firstLine="638"/>
      </w:pPr>
      <w:r>
        <w:rPr>
          <w:spacing w:val="-9"/>
        </w:rPr>
        <w:t>政府合同管理遵循事前法律风险防范、事中法律风险控制和事后法律监督相结合原则。</w:t>
      </w:r>
    </w:p>
    <w:p>
      <w:pPr>
        <w:pStyle w:val="BodyText"/>
        <w:tabs>
          <w:tab w:pos="2299" w:val="left" w:leader="none"/>
        </w:tabs>
        <w:spacing w:line="297" w:lineRule="auto" w:before="4"/>
        <w:ind w:left="860" w:right="399"/>
      </w:pPr>
      <w:r>
        <w:rPr>
          <w:rFonts w:ascii="楷体" w:eastAsia="楷体" w:hint="eastAsia"/>
        </w:rPr>
        <w:t>第五条</w:t>
        <w:tab/>
      </w:r>
      <w:r>
        <w:rPr/>
        <w:t>订立政府合同，应当明确合同的承办单位。 县政府作为一方当事人签订</w:t>
      </w:r>
      <w:r>
        <w:rPr>
          <w:spacing w:val="-67"/>
        </w:rPr>
        <w:t>、</w:t>
      </w:r>
      <w:r>
        <w:rPr/>
        <w:t>委托的合同</w:t>
      </w:r>
      <w:r>
        <w:rPr>
          <w:spacing w:val="-67"/>
        </w:rPr>
        <w:t>，</w:t>
      </w:r>
      <w:r>
        <w:rPr/>
        <w:t>根据合同项</w:t>
      </w:r>
      <w:r>
        <w:rPr>
          <w:spacing w:val="-11"/>
        </w:rPr>
        <w:t>目</w:t>
      </w:r>
    </w:p>
    <w:p>
      <w:pPr>
        <w:pStyle w:val="BodyText"/>
        <w:spacing w:line="300" w:lineRule="auto" w:before="8"/>
        <w:ind w:left="221" w:right="399"/>
      </w:pPr>
      <w:r>
        <w:rPr>
          <w:spacing w:val="-12"/>
          <w:w w:val="95"/>
        </w:rPr>
        <w:t>所涉职责，由主管部门或由县政府指定的部门作为合同承办单 </w:t>
      </w:r>
      <w:r>
        <w:rPr>
          <w:spacing w:val="-12"/>
        </w:rPr>
        <w:t>位。</w:t>
      </w:r>
    </w:p>
    <w:p>
      <w:pPr>
        <w:spacing w:after="0" w:line="300" w:lineRule="auto"/>
        <w:sectPr>
          <w:pgSz w:w="11910" w:h="16840"/>
          <w:pgMar w:header="0" w:footer="1294" w:top="1580" w:bottom="1480" w:left="1480" w:right="1300"/>
        </w:sectPr>
      </w:pPr>
    </w:p>
    <w:p>
      <w:pPr>
        <w:pStyle w:val="BodyText"/>
        <w:spacing w:line="300" w:lineRule="auto" w:before="115"/>
        <w:ind w:left="221" w:right="401" w:firstLine="638"/>
      </w:pPr>
      <w:r>
        <w:rPr>
          <w:spacing w:val="-7"/>
          <w:w w:val="95"/>
        </w:rPr>
        <w:t>县政府工作部门作为一方当事人签订、委托的合同，由县 </w:t>
      </w:r>
      <w:r>
        <w:rPr>
          <w:spacing w:val="-7"/>
        </w:rPr>
        <w:t>政府工作部门根据职责分工，自行确定合同承办单位。</w:t>
      </w:r>
    </w:p>
    <w:p>
      <w:pPr>
        <w:pStyle w:val="BodyText"/>
        <w:tabs>
          <w:tab w:pos="2304" w:val="left" w:leader="none"/>
        </w:tabs>
        <w:spacing w:line="297" w:lineRule="auto" w:before="5"/>
        <w:ind w:left="221" w:right="401" w:firstLine="638"/>
      </w:pPr>
      <w:r>
        <w:rPr>
          <w:rFonts w:ascii="楷体" w:eastAsia="楷体" w:hint="eastAsia"/>
        </w:rPr>
        <w:t>第六条</w:t>
        <w:tab/>
      </w:r>
      <w:r>
        <w:rPr/>
        <w:t>合同承办单位负责合同的前期准备、拟定、审查、履行、争议解决、备案等事宜：</w:t>
      </w:r>
    </w:p>
    <w:p>
      <w:pPr>
        <w:pStyle w:val="BodyText"/>
        <w:spacing w:before="9"/>
        <w:ind w:left="860"/>
      </w:pPr>
      <w:r>
        <w:rPr/>
        <w:t>（一</w:t>
      </w:r>
      <w:r>
        <w:rPr>
          <w:spacing w:val="-67"/>
        </w:rPr>
        <w:t>）</w:t>
      </w:r>
      <w:r>
        <w:rPr>
          <w:spacing w:val="-6"/>
        </w:rPr>
        <w:t>负责政府合同项目的调研、可行性和合理性论证评</w:t>
      </w:r>
    </w:p>
    <w:p>
      <w:pPr>
        <w:pStyle w:val="BodyText"/>
        <w:spacing w:before="111"/>
        <w:ind w:left="221"/>
      </w:pPr>
      <w:r>
        <w:rPr/>
        <w:t>估；</w:t>
      </w:r>
    </w:p>
    <w:p>
      <w:pPr>
        <w:pStyle w:val="BodyText"/>
        <w:spacing w:before="112"/>
        <w:ind w:left="860"/>
      </w:pPr>
      <w:r>
        <w:rPr/>
        <w:t>（二</w:t>
      </w:r>
      <w:r>
        <w:rPr>
          <w:spacing w:val="-135"/>
        </w:rPr>
        <w:t>）</w:t>
      </w:r>
      <w:r>
        <w:rPr/>
        <w:t>审查政府合同对方当事人的主体资格以及资信等情</w:t>
      </w:r>
    </w:p>
    <w:p>
      <w:pPr>
        <w:pStyle w:val="BodyText"/>
        <w:spacing w:before="114"/>
        <w:ind w:left="221"/>
      </w:pPr>
      <w:r>
        <w:rPr/>
        <w:t>况并收集相关资料；</w:t>
      </w:r>
    </w:p>
    <w:p>
      <w:pPr>
        <w:pStyle w:val="BodyText"/>
        <w:spacing w:line="300" w:lineRule="auto" w:before="112"/>
        <w:ind w:left="221" w:right="242" w:firstLine="638"/>
      </w:pPr>
      <w:r>
        <w:rPr>
          <w:w w:val="95"/>
        </w:rPr>
        <w:t>（三</w:t>
      </w:r>
      <w:r>
        <w:rPr>
          <w:spacing w:val="-99"/>
          <w:w w:val="95"/>
        </w:rPr>
        <w:t>）</w:t>
      </w:r>
      <w:r>
        <w:rPr>
          <w:spacing w:val="-11"/>
          <w:w w:val="95"/>
        </w:rPr>
        <w:t>负责与政府合同对方当事人进行协商、谈判，拟定、 </w:t>
      </w:r>
      <w:r>
        <w:rPr>
          <w:spacing w:val="-11"/>
        </w:rPr>
        <w:t>修改合同文本；</w:t>
      </w:r>
    </w:p>
    <w:p>
      <w:pPr>
        <w:pStyle w:val="BodyText"/>
        <w:spacing w:before="2"/>
        <w:ind w:left="860"/>
      </w:pPr>
      <w:r>
        <w:rPr/>
        <w:t>（四）涉及其他部门职能的，应当征求相关部门意见；</w:t>
      </w:r>
    </w:p>
    <w:p>
      <w:pPr>
        <w:pStyle w:val="BodyText"/>
        <w:spacing w:before="111"/>
        <w:ind w:left="860"/>
      </w:pPr>
      <w:r>
        <w:rPr/>
        <w:t>（五）负责对政府合同文本的合法性进行初审；</w:t>
      </w:r>
    </w:p>
    <w:p>
      <w:pPr>
        <w:pStyle w:val="BodyText"/>
        <w:spacing w:line="300" w:lineRule="auto" w:before="112"/>
        <w:ind w:left="221" w:right="399" w:firstLine="638"/>
      </w:pPr>
      <w:r>
        <w:rPr/>
        <w:t>（六</w:t>
      </w:r>
      <w:r>
        <w:rPr>
          <w:spacing w:val="-67"/>
        </w:rPr>
        <w:t>）</w:t>
      </w:r>
      <w:r>
        <w:rPr>
          <w:spacing w:val="-8"/>
        </w:rPr>
        <w:t>负责政府合同履行，并对履行过程中产生的纠纷和发现的问题进行调查处理；</w:t>
      </w:r>
    </w:p>
    <w:p>
      <w:pPr>
        <w:pStyle w:val="BodyText"/>
        <w:spacing w:line="300" w:lineRule="auto" w:before="2"/>
        <w:ind w:left="221" w:right="266" w:firstLine="638"/>
      </w:pPr>
      <w:r>
        <w:rPr/>
        <w:t>（七）按照本办法要求负责政府合同纠纷的协商、调解、仲裁和诉讼等工作；</w:t>
      </w:r>
    </w:p>
    <w:p>
      <w:pPr>
        <w:pStyle w:val="BodyText"/>
        <w:spacing w:line="300" w:lineRule="auto" w:before="2"/>
        <w:ind w:left="221" w:right="401" w:firstLine="638"/>
      </w:pPr>
      <w:r>
        <w:rPr/>
        <w:t>（八</w:t>
      </w:r>
      <w:r>
        <w:rPr>
          <w:spacing w:val="-27"/>
        </w:rPr>
        <w:t>）</w:t>
      </w:r>
      <w:r>
        <w:rPr>
          <w:spacing w:val="-10"/>
        </w:rPr>
        <w:t>负责政府合同谈判、订立、履行、变更、解除等相关文件资料的整理、保管和移交、备案工作。</w:t>
      </w:r>
    </w:p>
    <w:p>
      <w:pPr>
        <w:pStyle w:val="BodyText"/>
        <w:spacing w:before="2"/>
        <w:rPr>
          <w:sz w:val="40"/>
        </w:rPr>
      </w:pPr>
    </w:p>
    <w:p>
      <w:pPr>
        <w:pStyle w:val="BodyText"/>
        <w:tabs>
          <w:tab w:pos="1439" w:val="left" w:leader="none"/>
        </w:tabs>
        <w:ind w:right="180"/>
        <w:jc w:val="center"/>
        <w:rPr>
          <w:rFonts w:ascii="黑体" w:eastAsia="黑体" w:hint="eastAsia"/>
        </w:rPr>
      </w:pPr>
      <w:r>
        <w:rPr>
          <w:rFonts w:ascii="黑体" w:eastAsia="黑体" w:hint="eastAsia"/>
        </w:rPr>
        <w:t>第二章</w:t>
        <w:tab/>
        <w:t>合同的签订</w:t>
      </w:r>
    </w:p>
    <w:p>
      <w:pPr>
        <w:pStyle w:val="BodyText"/>
        <w:rPr>
          <w:rFonts w:ascii="黑体"/>
        </w:rPr>
      </w:pPr>
    </w:p>
    <w:p>
      <w:pPr>
        <w:pStyle w:val="BodyText"/>
        <w:spacing w:before="6"/>
        <w:rPr>
          <w:rFonts w:ascii="黑体"/>
          <w:sz w:val="23"/>
        </w:rPr>
      </w:pPr>
    </w:p>
    <w:p>
      <w:pPr>
        <w:pStyle w:val="BodyText"/>
        <w:tabs>
          <w:tab w:pos="2304" w:val="left" w:leader="none"/>
        </w:tabs>
        <w:spacing w:line="300" w:lineRule="auto"/>
        <w:ind w:left="221" w:right="399" w:firstLine="638"/>
      </w:pPr>
      <w:r>
        <w:rPr>
          <w:rFonts w:ascii="楷体" w:eastAsia="楷体" w:hint="eastAsia"/>
        </w:rPr>
        <w:t>第七条</w:t>
        <w:tab/>
      </w:r>
      <w:r>
        <w:rPr/>
        <w:t>县政府及其工作部门应当按照法律、法</w:t>
      </w:r>
      <w:r>
        <w:rPr>
          <w:spacing w:val="5"/>
        </w:rPr>
        <w:t>规</w:t>
      </w:r>
      <w:r>
        <w:rPr/>
        <w:t>、规章规定的程序和条件确定合同相对人。</w:t>
      </w:r>
    </w:p>
    <w:p>
      <w:pPr>
        <w:pStyle w:val="BodyText"/>
        <w:spacing w:line="447" w:lineRule="exact"/>
        <w:ind w:left="860"/>
      </w:pPr>
      <w:r>
        <w:rPr/>
        <w:t>采用政府采购或者招投标方式确定合同相对人的，应当严</w:t>
      </w:r>
    </w:p>
    <w:p>
      <w:pPr>
        <w:spacing w:after="0" w:line="447" w:lineRule="exact"/>
        <w:sectPr>
          <w:footerReference w:type="default" r:id="rId28"/>
          <w:pgSz w:w="11910" w:h="16840"/>
          <w:pgMar w:footer="1294" w:header="0" w:top="1580" w:bottom="1480" w:left="1480" w:right="1300"/>
          <w:pgNumType w:start="30"/>
        </w:sectPr>
      </w:pPr>
    </w:p>
    <w:p>
      <w:pPr>
        <w:pStyle w:val="BodyText"/>
        <w:spacing w:line="300" w:lineRule="auto" w:before="115"/>
        <w:ind w:left="221" w:right="401"/>
      </w:pPr>
      <w:r>
        <w:rPr>
          <w:spacing w:val="-12"/>
          <w:w w:val="95"/>
        </w:rPr>
        <w:t>格遵守《中华人民共和国政府采购法》、《中华人民共和国招 </w:t>
      </w:r>
      <w:r>
        <w:rPr>
          <w:spacing w:val="-12"/>
        </w:rPr>
        <w:t>标投标法》等法律、法规、规章的规定。</w:t>
      </w:r>
    </w:p>
    <w:p>
      <w:pPr>
        <w:pStyle w:val="BodyText"/>
        <w:spacing w:before="5"/>
        <w:ind w:left="860"/>
        <w:jc w:val="both"/>
      </w:pPr>
      <w:r>
        <w:rPr>
          <w:rFonts w:ascii="楷体" w:eastAsia="楷体" w:hint="eastAsia"/>
        </w:rPr>
        <w:t>第八条 </w:t>
      </w:r>
      <w:r>
        <w:rPr/>
        <w:t>订立政府合同，应遵循以下程序：</w:t>
      </w:r>
    </w:p>
    <w:p>
      <w:pPr>
        <w:pStyle w:val="BodyText"/>
        <w:spacing w:line="300" w:lineRule="auto" w:before="109"/>
        <w:ind w:left="221" w:right="399" w:firstLine="638"/>
        <w:jc w:val="both"/>
      </w:pPr>
      <w:r>
        <w:rPr/>
        <w:t>（一</w:t>
      </w:r>
      <w:r>
        <w:rPr>
          <w:spacing w:val="-67"/>
        </w:rPr>
        <w:t>）</w:t>
      </w:r>
      <w:r>
        <w:rPr>
          <w:spacing w:val="-9"/>
        </w:rPr>
        <w:t>磋商。合同承办单位负责组织与合同相对方的磋商</w:t>
      </w:r>
      <w:r>
        <w:rPr>
          <w:spacing w:val="-13"/>
          <w:w w:val="95"/>
        </w:rPr>
        <w:t>工作，在磋商过程中，应当有本部门法制机构工作人员或法律 </w:t>
      </w:r>
      <w:r>
        <w:rPr>
          <w:spacing w:val="-13"/>
        </w:rPr>
        <w:t>顾问全程参与。</w:t>
      </w:r>
    </w:p>
    <w:p>
      <w:pPr>
        <w:pStyle w:val="BodyText"/>
        <w:spacing w:line="300" w:lineRule="auto" w:before="2"/>
        <w:ind w:left="221" w:right="266" w:firstLine="638"/>
      </w:pPr>
      <w:r>
        <w:rPr/>
        <w:t>（二）</w:t>
      </w:r>
      <w:r>
        <w:rPr>
          <w:spacing w:val="-1"/>
        </w:rPr>
        <w:t>合同文本拟定。合同承办单位负责拟定合同文本， </w:t>
      </w:r>
      <w:r>
        <w:rPr>
          <w:spacing w:val="-10"/>
        </w:rPr>
        <w:t>应当认真研究签约事项，对合同主体、标的、权利义务、违约</w:t>
      </w:r>
      <w:r>
        <w:rPr>
          <w:spacing w:val="-16"/>
        </w:rPr>
        <w:t>责任等主要条款进行认真审查，并避免与之前签订的同类型合同发生冲突。政府合同项目涉及其他部门职能的，合同承办单位应当征求其他相关部门的意见。</w:t>
      </w:r>
    </w:p>
    <w:p>
      <w:pPr>
        <w:pStyle w:val="BodyText"/>
        <w:spacing w:line="300" w:lineRule="auto" w:before="4"/>
        <w:ind w:left="221" w:right="397" w:firstLine="638"/>
        <w:jc w:val="both"/>
      </w:pPr>
      <w:r>
        <w:rPr/>
        <w:t>（三</w:t>
      </w:r>
      <w:r>
        <w:rPr>
          <w:spacing w:val="-46"/>
        </w:rPr>
        <w:t>）</w:t>
      </w:r>
      <w:r>
        <w:rPr>
          <w:spacing w:val="-11"/>
        </w:rPr>
        <w:t>风险论证。合同签订前，合同承办单位应当对合同</w:t>
      </w:r>
      <w:r>
        <w:rPr>
          <w:spacing w:val="-15"/>
          <w:w w:val="95"/>
        </w:rPr>
        <w:t>所涉及的法律、经济、技术和社会稳定等方面的风险进行预先 </w:t>
      </w:r>
      <w:r>
        <w:rPr>
          <w:spacing w:val="-15"/>
        </w:rPr>
        <w:t>分析和论证，必要时可以听取法律顾问等有关专家的意见。</w:t>
      </w:r>
    </w:p>
    <w:p>
      <w:pPr>
        <w:pStyle w:val="BodyText"/>
        <w:spacing w:line="300" w:lineRule="auto" w:before="2"/>
        <w:ind w:left="221" w:right="399" w:firstLine="638"/>
        <w:jc w:val="both"/>
      </w:pPr>
      <w:r>
        <w:rPr/>
        <w:t>（四</w:t>
      </w:r>
      <w:r>
        <w:rPr>
          <w:spacing w:val="-46"/>
        </w:rPr>
        <w:t>）</w:t>
      </w:r>
      <w:r>
        <w:rPr>
          <w:spacing w:val="-10"/>
        </w:rPr>
        <w:t>合法性审查。由县政府法制机构、部门法制机构或</w:t>
      </w:r>
      <w:r>
        <w:rPr>
          <w:spacing w:val="-16"/>
          <w:w w:val="95"/>
        </w:rPr>
        <w:t>承担法制工作的机构负责，依照本办法第九条至第十六条，对 </w:t>
      </w:r>
      <w:r>
        <w:rPr>
          <w:spacing w:val="-18"/>
          <w:w w:val="95"/>
        </w:rPr>
        <w:t>合同文本进行合法性审查，聘请法律顾问的可以安排法律顾问 </w:t>
      </w:r>
      <w:r>
        <w:rPr>
          <w:spacing w:val="-18"/>
        </w:rPr>
        <w:t>参与政府合同的合法性审查。</w:t>
      </w:r>
    </w:p>
    <w:p>
      <w:pPr>
        <w:pStyle w:val="BodyText"/>
        <w:spacing w:line="300" w:lineRule="auto" w:before="2"/>
        <w:ind w:left="221" w:right="242" w:firstLine="638"/>
      </w:pPr>
      <w:r>
        <w:rPr/>
        <w:t>（五</w:t>
      </w:r>
      <w:r>
        <w:rPr>
          <w:spacing w:val="-46"/>
        </w:rPr>
        <w:t>）</w:t>
      </w:r>
      <w:r>
        <w:rPr>
          <w:spacing w:val="-10"/>
        </w:rPr>
        <w:t>合同报批。经合法性审查后，县政府为一方当事人</w:t>
      </w:r>
      <w:r>
        <w:rPr>
          <w:spacing w:val="-20"/>
          <w:w w:val="95"/>
        </w:rPr>
        <w:t>的政府合同，由县政府分管负责同志审核、主要负责同志审批， </w:t>
      </w:r>
      <w:r>
        <w:rPr>
          <w:spacing w:val="-22"/>
        </w:rPr>
        <w:t>必要时县政府领导班子集体讨论决定；县政府工作部门为一方</w:t>
      </w:r>
      <w:r>
        <w:rPr>
          <w:spacing w:val="-18"/>
        </w:rPr>
        <w:t>当事人的政府合同，按部门内控制度要求，履行审批手续，并向县政府法制机构备案。</w:t>
      </w:r>
    </w:p>
    <w:p>
      <w:pPr>
        <w:pStyle w:val="BodyText"/>
        <w:spacing w:before="4"/>
        <w:ind w:left="860"/>
      </w:pPr>
      <w:r>
        <w:rPr/>
        <w:t>（六）合同签署。政府合同经批准后，由县政府或其部门</w:t>
      </w:r>
    </w:p>
    <w:p>
      <w:pPr>
        <w:spacing w:after="0"/>
        <w:sectPr>
          <w:pgSz w:w="11910" w:h="16840"/>
          <w:pgMar w:header="0" w:footer="1294" w:top="1580" w:bottom="1480" w:left="1480" w:right="1300"/>
        </w:sectPr>
      </w:pPr>
    </w:p>
    <w:p>
      <w:pPr>
        <w:pStyle w:val="BodyText"/>
        <w:spacing w:line="300" w:lineRule="auto" w:before="115"/>
        <w:ind w:left="221" w:right="401"/>
      </w:pPr>
      <w:r>
        <w:rPr>
          <w:spacing w:val="-9"/>
          <w:w w:val="95"/>
        </w:rPr>
        <w:t>法定代表人或负责人签署。授权其他人员签署的，应当有法定 </w:t>
      </w:r>
      <w:r>
        <w:rPr>
          <w:spacing w:val="-9"/>
        </w:rPr>
        <w:t>代表人或负责人的书面授权。</w:t>
      </w:r>
    </w:p>
    <w:p>
      <w:pPr>
        <w:pStyle w:val="BodyText"/>
        <w:tabs>
          <w:tab w:pos="2304" w:val="left" w:leader="none"/>
        </w:tabs>
        <w:spacing w:line="297" w:lineRule="auto" w:before="5"/>
        <w:ind w:left="221" w:right="401" w:firstLine="638"/>
      </w:pPr>
      <w:r>
        <w:rPr>
          <w:rFonts w:ascii="楷体" w:eastAsia="楷体" w:hint="eastAsia"/>
        </w:rPr>
        <w:t>第九条</w:t>
        <w:tab/>
      </w:r>
      <w:r>
        <w:rPr/>
        <w:t>政府合同在签订之前应当进行合法性审查。未经合法性审查，县政府及其工作部门不得签订政府合同。</w:t>
      </w:r>
    </w:p>
    <w:p>
      <w:pPr>
        <w:pStyle w:val="BodyText"/>
        <w:tabs>
          <w:tab w:pos="2304" w:val="left" w:leader="none"/>
        </w:tabs>
        <w:spacing w:line="300" w:lineRule="auto" w:before="9"/>
        <w:ind w:left="221" w:right="401" w:firstLine="638"/>
      </w:pPr>
      <w:r>
        <w:rPr>
          <w:rFonts w:ascii="楷体" w:eastAsia="楷体" w:hint="eastAsia"/>
        </w:rPr>
        <w:t>第十条</w:t>
        <w:tab/>
      </w:r>
      <w:r>
        <w:rPr/>
        <w:t>政府合同合法性审查工作遵循统一管理、分级负责的原则。</w:t>
      </w:r>
    </w:p>
    <w:p>
      <w:pPr>
        <w:pStyle w:val="BodyText"/>
        <w:spacing w:line="300" w:lineRule="auto"/>
        <w:ind w:left="221" w:right="266" w:firstLine="638"/>
      </w:pPr>
      <w:r>
        <w:rPr>
          <w:spacing w:val="-9"/>
        </w:rPr>
        <w:t>县政府为一方当事人的政府合同，由县政府法制机构负责</w:t>
      </w:r>
      <w:r>
        <w:rPr>
          <w:spacing w:val="-14"/>
        </w:rPr>
        <w:t>合法性审查。县政府工作部门为一方当事人的政府合同，由该工作部门的法制机构或承担法制工作的机构负责合法性审查。</w:t>
      </w:r>
      <w:r>
        <w:rPr>
          <w:spacing w:val="-1"/>
        </w:rPr>
        <w:t>县政府工作部门认为签署的合同需要县政府法制机构审核的， </w:t>
      </w:r>
      <w:r>
        <w:rPr>
          <w:spacing w:val="-8"/>
        </w:rPr>
        <w:t>应当向县政府办公室提出合法性审查申请，报县政府分管负责同志确定是否需县政府法制机构进行合法性审查。</w:t>
      </w:r>
    </w:p>
    <w:p>
      <w:pPr>
        <w:pStyle w:val="BodyText"/>
        <w:spacing w:line="300" w:lineRule="auto" w:before="3"/>
        <w:ind w:left="221" w:right="266" w:firstLine="638"/>
      </w:pPr>
      <w:r>
        <w:rPr>
          <w:spacing w:val="-12"/>
        </w:rPr>
        <w:t>县政府法制机构、部门法制机构或承担法制工作的机构对金额较大、条款争议较大的合同，应当征询法律顾问的意见， </w:t>
      </w:r>
      <w:r>
        <w:rPr/>
        <w:t>并参照法律顾问意见对合同进行修改和完善。</w:t>
      </w:r>
    </w:p>
    <w:p>
      <w:pPr>
        <w:pStyle w:val="BodyText"/>
        <w:tabs>
          <w:tab w:pos="2621" w:val="left" w:leader="none"/>
        </w:tabs>
        <w:spacing w:line="300" w:lineRule="auto" w:before="4"/>
        <w:ind w:left="860" w:right="423"/>
      </w:pPr>
      <w:r>
        <w:rPr>
          <w:rFonts w:ascii="楷体" w:eastAsia="楷体" w:hint="eastAsia"/>
        </w:rPr>
        <w:t>第十一条</w:t>
        <w:tab/>
      </w:r>
      <w:r>
        <w:rPr/>
        <w:t>对政府合同进行合法性审查，应包括以下</w:t>
      </w:r>
      <w:r>
        <w:rPr>
          <w:spacing w:val="-12"/>
        </w:rPr>
        <w:t>内</w:t>
      </w:r>
      <w:r>
        <w:rPr/>
        <w:t>容：</w:t>
      </w:r>
    </w:p>
    <w:p>
      <w:pPr>
        <w:pStyle w:val="BodyText"/>
        <w:spacing w:line="447" w:lineRule="exact"/>
        <w:ind w:left="860"/>
      </w:pPr>
      <w:r>
        <w:rPr/>
        <w:t>（一）合同订立主体是否适格；</w:t>
      </w:r>
    </w:p>
    <w:p>
      <w:pPr>
        <w:pStyle w:val="BodyText"/>
        <w:spacing w:line="300" w:lineRule="auto" w:before="112"/>
        <w:ind w:left="221" w:right="401" w:firstLine="638"/>
      </w:pPr>
      <w:r>
        <w:rPr>
          <w:w w:val="95"/>
        </w:rPr>
        <w:t>（二</w:t>
      </w:r>
      <w:r>
        <w:rPr>
          <w:spacing w:val="-67"/>
          <w:w w:val="95"/>
        </w:rPr>
        <w:t>）</w:t>
      </w:r>
      <w:r>
        <w:rPr>
          <w:spacing w:val="-7"/>
          <w:w w:val="95"/>
        </w:rPr>
        <w:t>合同约定是否损害国家、社会公共利益以及是否侵 </w:t>
      </w:r>
      <w:r>
        <w:rPr>
          <w:spacing w:val="-7"/>
        </w:rPr>
        <w:t>犯第三方的合法权益；</w:t>
      </w:r>
    </w:p>
    <w:p>
      <w:pPr>
        <w:pStyle w:val="BodyText"/>
        <w:spacing w:line="300" w:lineRule="auto" w:before="2"/>
        <w:ind w:left="221" w:right="242" w:firstLine="638"/>
      </w:pPr>
      <w:r>
        <w:rPr>
          <w:w w:val="95"/>
        </w:rPr>
        <w:t>（三</w:t>
      </w:r>
      <w:r>
        <w:rPr>
          <w:spacing w:val="-147"/>
          <w:w w:val="95"/>
        </w:rPr>
        <w:t>）</w:t>
      </w:r>
      <w:r>
        <w:rPr>
          <w:spacing w:val="-12"/>
          <w:w w:val="95"/>
        </w:rPr>
        <w:t>合同内容是否显失公平，约定的权利义务是否明确、 </w:t>
      </w:r>
      <w:r>
        <w:rPr>
          <w:spacing w:val="-12"/>
        </w:rPr>
        <w:t>对等；</w:t>
      </w:r>
    </w:p>
    <w:p>
      <w:pPr>
        <w:pStyle w:val="BodyText"/>
        <w:spacing w:before="2"/>
        <w:ind w:left="860"/>
      </w:pPr>
      <w:r>
        <w:rPr/>
        <w:t>（四）合同约定是否违反相关法律、法规、规章的规定；</w:t>
      </w:r>
    </w:p>
    <w:p>
      <w:pPr>
        <w:pStyle w:val="BodyText"/>
        <w:spacing w:before="112"/>
        <w:ind w:left="860"/>
      </w:pPr>
      <w:r>
        <w:rPr/>
        <w:t>（五</w:t>
      </w:r>
      <w:r>
        <w:rPr>
          <w:spacing w:val="-67"/>
        </w:rPr>
        <w:t>）</w:t>
      </w:r>
      <w:r>
        <w:rPr>
          <w:spacing w:val="-4"/>
        </w:rPr>
        <w:t>合同所涉事项是否能以合同形式约定，是否损害法</w:t>
      </w:r>
    </w:p>
    <w:p>
      <w:pPr>
        <w:spacing w:after="0"/>
        <w:sectPr>
          <w:pgSz w:w="11910" w:h="16840"/>
          <w:pgMar w:header="0" w:footer="1294" w:top="1580" w:bottom="1480" w:left="1480" w:right="1300"/>
        </w:sectPr>
      </w:pPr>
    </w:p>
    <w:p>
      <w:pPr>
        <w:pStyle w:val="BodyText"/>
        <w:spacing w:before="115"/>
        <w:ind w:left="221"/>
      </w:pPr>
      <w:r>
        <w:rPr/>
        <w:t>定行政管理权限；</w:t>
      </w:r>
    </w:p>
    <w:p>
      <w:pPr>
        <w:pStyle w:val="BodyText"/>
        <w:spacing w:line="300" w:lineRule="auto" w:before="115"/>
        <w:ind w:left="221" w:right="399" w:firstLine="638"/>
      </w:pPr>
      <w:r>
        <w:rPr/>
        <w:t>（六</w:t>
      </w:r>
      <w:r>
        <w:rPr>
          <w:spacing w:val="-135"/>
        </w:rPr>
        <w:t>）</w:t>
      </w:r>
      <w:r>
        <w:rPr/>
        <w:t>合同是否约定政府一方享有基于公共利益需要或维护法定权益需要可单方变更、终止合同的权利；</w:t>
      </w:r>
    </w:p>
    <w:p>
      <w:pPr>
        <w:pStyle w:val="BodyText"/>
        <w:spacing w:line="447" w:lineRule="exact"/>
        <w:ind w:left="860"/>
      </w:pPr>
      <w:r>
        <w:rPr/>
        <w:t>（七）合同约定是否违反公平竞争的有关要求；</w:t>
      </w:r>
    </w:p>
    <w:p>
      <w:pPr>
        <w:pStyle w:val="BodyText"/>
        <w:spacing w:before="114"/>
        <w:ind w:left="860"/>
      </w:pPr>
      <w:r>
        <w:rPr/>
        <w:t>（八）合同文字表述是否准确、规范；</w:t>
      </w:r>
    </w:p>
    <w:p>
      <w:pPr>
        <w:pStyle w:val="BodyText"/>
        <w:spacing w:line="300" w:lineRule="auto" w:before="111"/>
        <w:ind w:left="221" w:right="401" w:firstLine="638"/>
      </w:pPr>
      <w:r>
        <w:rPr/>
        <w:t>（九</w:t>
      </w:r>
      <w:r>
        <w:rPr>
          <w:spacing w:val="-46"/>
        </w:rPr>
        <w:t>）</w:t>
      </w:r>
      <w:r>
        <w:rPr>
          <w:spacing w:val="-8"/>
        </w:rPr>
        <w:t>合同是否具备主要条款，是否约定争议解决、违约责任及保密、不可抗力等条款。</w:t>
      </w:r>
    </w:p>
    <w:p>
      <w:pPr>
        <w:pStyle w:val="BodyText"/>
        <w:spacing w:before="2"/>
        <w:ind w:left="860"/>
      </w:pPr>
      <w:r>
        <w:rPr/>
        <w:t>（十）其他事项需要进行合法性审查的。</w:t>
      </w:r>
    </w:p>
    <w:p>
      <w:pPr>
        <w:pStyle w:val="BodyText"/>
        <w:spacing w:line="300" w:lineRule="auto" w:before="112"/>
        <w:ind w:left="221" w:right="401" w:firstLine="638"/>
      </w:pPr>
      <w:r>
        <w:rPr>
          <w:spacing w:val="-12"/>
        </w:rPr>
        <w:t>县政府法制机构、部门法制机构或部门承担法制工作的机构不对政府合同涉及的技术、金额等问题进行审查。</w:t>
      </w:r>
    </w:p>
    <w:p>
      <w:pPr>
        <w:pStyle w:val="BodyText"/>
        <w:tabs>
          <w:tab w:pos="2621" w:val="left" w:leader="none"/>
        </w:tabs>
        <w:spacing w:before="2"/>
        <w:ind w:left="860"/>
      </w:pPr>
      <w:r>
        <w:rPr>
          <w:rFonts w:ascii="楷体" w:eastAsia="楷体" w:hint="eastAsia"/>
        </w:rPr>
        <w:t>第十二条</w:t>
        <w:tab/>
      </w:r>
      <w:r>
        <w:rPr/>
        <w:t>政府合同中不得含有下列条款：</w:t>
      </w:r>
    </w:p>
    <w:p>
      <w:pPr>
        <w:pStyle w:val="BodyText"/>
        <w:spacing w:before="112"/>
        <w:ind w:left="860"/>
      </w:pPr>
      <w:r>
        <w:rPr/>
        <w:t>（一）超越政府机构职权范围的承诺或者义务性约定；</w:t>
      </w:r>
    </w:p>
    <w:p>
      <w:pPr>
        <w:pStyle w:val="BodyText"/>
        <w:spacing w:before="112"/>
        <w:ind w:left="860"/>
      </w:pPr>
      <w:r>
        <w:rPr/>
        <w:t>（二</w:t>
      </w:r>
      <w:r>
        <w:rPr>
          <w:spacing w:val="-99"/>
        </w:rPr>
        <w:t>）</w:t>
      </w:r>
      <w:r>
        <w:rPr>
          <w:spacing w:val="-15"/>
        </w:rPr>
        <w:t>违反国家法律、法规规定，以政府机构作为保证人；</w:t>
      </w:r>
    </w:p>
    <w:p>
      <w:pPr>
        <w:pStyle w:val="BodyText"/>
        <w:spacing w:line="300" w:lineRule="auto" w:before="114"/>
        <w:ind w:left="221" w:right="242" w:firstLine="638"/>
      </w:pPr>
      <w:r>
        <w:rPr/>
        <w:t>（三</w:t>
      </w:r>
      <w:r>
        <w:rPr>
          <w:spacing w:val="-99"/>
        </w:rPr>
        <w:t>）</w:t>
      </w:r>
      <w:r>
        <w:rPr>
          <w:spacing w:val="-15"/>
        </w:rPr>
        <w:t>将合同效力、合同条款解释、合同履行和合同变更、</w:t>
      </w:r>
      <w:r>
        <w:rPr>
          <w:spacing w:val="-14"/>
        </w:rPr>
        <w:t>解除、终止以及争议解决的适用法律约定为境外国家、地区法律；</w:t>
      </w:r>
    </w:p>
    <w:p>
      <w:pPr>
        <w:pStyle w:val="BodyText"/>
        <w:spacing w:line="300" w:lineRule="auto" w:before="2"/>
        <w:ind w:left="221" w:right="399" w:firstLine="638"/>
      </w:pPr>
      <w:r>
        <w:rPr/>
        <w:t>（四</w:t>
      </w:r>
      <w:r>
        <w:rPr>
          <w:spacing w:val="-46"/>
        </w:rPr>
        <w:t>）</w:t>
      </w:r>
      <w:r>
        <w:rPr>
          <w:spacing w:val="-9"/>
        </w:rPr>
        <w:t>其他违反现行法律、法规或者损害国家、社会公共利益的约定。</w:t>
      </w:r>
    </w:p>
    <w:p>
      <w:pPr>
        <w:pStyle w:val="BodyText"/>
        <w:tabs>
          <w:tab w:pos="2626" w:val="left" w:leader="none"/>
        </w:tabs>
        <w:spacing w:line="300" w:lineRule="auto" w:before="2"/>
        <w:ind w:left="221" w:right="399" w:firstLine="638"/>
      </w:pPr>
      <w:r>
        <w:rPr>
          <w:rFonts w:ascii="楷体" w:eastAsia="楷体" w:hint="eastAsia"/>
        </w:rPr>
        <w:t>第十三条</w:t>
        <w:tab/>
      </w:r>
      <w:r>
        <w:rPr/>
        <w:t>提交县政府法制机构进行合法性审查的政府合同，承办单位需提交下列材料：</w:t>
      </w:r>
    </w:p>
    <w:p>
      <w:pPr>
        <w:pStyle w:val="BodyText"/>
        <w:spacing w:line="447" w:lineRule="exact"/>
        <w:ind w:left="860"/>
      </w:pPr>
      <w:r>
        <w:rPr/>
        <w:t>（一）送审公函；</w:t>
      </w:r>
    </w:p>
    <w:p>
      <w:pPr>
        <w:pStyle w:val="BodyText"/>
        <w:spacing w:before="111"/>
        <w:ind w:left="860"/>
      </w:pPr>
      <w:r>
        <w:rPr/>
        <w:t>（二）提请审查的政府合同文本；</w:t>
      </w:r>
    </w:p>
    <w:p>
      <w:pPr>
        <w:pStyle w:val="BodyText"/>
        <w:spacing w:line="300" w:lineRule="auto" w:before="114"/>
        <w:ind w:left="221" w:right="399" w:firstLine="638"/>
      </w:pPr>
      <w:r>
        <w:rPr/>
        <w:t>（三</w:t>
      </w:r>
      <w:r>
        <w:rPr>
          <w:spacing w:val="-67"/>
        </w:rPr>
        <w:t>）</w:t>
      </w:r>
      <w:r>
        <w:rPr>
          <w:spacing w:val="-4"/>
        </w:rPr>
        <w:t>部门法制机构或者承担法制工作的机构、法律顾问的审查意见；</w:t>
      </w:r>
    </w:p>
    <w:p>
      <w:pPr>
        <w:spacing w:after="0" w:line="300" w:lineRule="auto"/>
        <w:sectPr>
          <w:pgSz w:w="11910" w:h="16840"/>
          <w:pgMar w:header="0" w:footer="1294" w:top="1580" w:bottom="1480" w:left="1480" w:right="1300"/>
        </w:sectPr>
      </w:pPr>
    </w:p>
    <w:p>
      <w:pPr>
        <w:pStyle w:val="BodyText"/>
        <w:spacing w:before="115"/>
        <w:ind w:left="860"/>
      </w:pPr>
      <w:r>
        <w:rPr/>
        <w:t>（四）部门集体讨论记录；</w:t>
      </w:r>
    </w:p>
    <w:p>
      <w:pPr>
        <w:pStyle w:val="BodyText"/>
        <w:spacing w:before="115"/>
        <w:ind w:left="860"/>
      </w:pPr>
      <w:r>
        <w:rPr/>
        <w:t>（五</w:t>
      </w:r>
      <w:r>
        <w:rPr>
          <w:spacing w:val="-67"/>
        </w:rPr>
        <w:t>）</w:t>
      </w:r>
      <w:r>
        <w:rPr>
          <w:spacing w:val="-5"/>
        </w:rPr>
        <w:t>政府合同中对方当事人的资信、履约能力等调查材</w:t>
      </w:r>
    </w:p>
    <w:p>
      <w:pPr>
        <w:pStyle w:val="BodyText"/>
        <w:spacing w:before="111"/>
        <w:ind w:left="221"/>
      </w:pPr>
      <w:r>
        <w:rPr/>
        <w:t>料；</w:t>
      </w:r>
    </w:p>
    <w:p>
      <w:pPr>
        <w:pStyle w:val="BodyText"/>
        <w:spacing w:before="112"/>
        <w:ind w:left="860"/>
      </w:pPr>
      <w:r>
        <w:rPr>
          <w:color w:val="6F2F9F"/>
        </w:rPr>
        <w:t>（六）</w:t>
      </w:r>
      <w:r>
        <w:rPr/>
        <w:t>政府合同尽职调查或者风险评估报告；</w:t>
      </w:r>
    </w:p>
    <w:p>
      <w:pPr>
        <w:pStyle w:val="BodyText"/>
        <w:spacing w:before="114"/>
        <w:ind w:left="860"/>
      </w:pPr>
      <w:r>
        <w:rPr/>
        <w:t>（七）政府合同谈判、协商的相关材料；</w:t>
      </w:r>
    </w:p>
    <w:p>
      <w:pPr>
        <w:pStyle w:val="BodyText"/>
        <w:spacing w:before="112"/>
        <w:ind w:left="860"/>
      </w:pPr>
      <w:r>
        <w:rPr/>
        <w:t>（八）其他需要提供的材料。</w:t>
      </w:r>
    </w:p>
    <w:p>
      <w:pPr>
        <w:pStyle w:val="BodyText"/>
        <w:spacing w:before="111"/>
        <w:ind w:left="860"/>
      </w:pPr>
      <w:r>
        <w:rPr/>
        <w:t>提交的材料不符合以上规定的，承办单位应当在指定的期</w:t>
      </w:r>
    </w:p>
    <w:p>
      <w:pPr>
        <w:pStyle w:val="BodyText"/>
        <w:spacing w:before="115"/>
        <w:ind w:left="221"/>
      </w:pPr>
      <w:r>
        <w:rPr/>
        <w:t>限内补充有关材料。</w:t>
      </w:r>
    </w:p>
    <w:p>
      <w:pPr>
        <w:pStyle w:val="BodyText"/>
        <w:spacing w:line="300" w:lineRule="auto" w:before="114"/>
        <w:ind w:left="221" w:right="399" w:firstLine="638"/>
        <w:jc w:val="both"/>
      </w:pPr>
      <w:r>
        <w:rPr>
          <w:rFonts w:ascii="楷体" w:eastAsia="楷体" w:hint="eastAsia"/>
          <w:spacing w:val="30"/>
        </w:rPr>
        <w:t>第十四条 </w:t>
      </w:r>
      <w:r>
        <w:rPr>
          <w:spacing w:val="-8"/>
        </w:rPr>
        <w:t>县政府法制机构认为需补充送审材料的，应当</w:t>
      </w:r>
      <w:r>
        <w:rPr>
          <w:spacing w:val="-16"/>
        </w:rPr>
        <w:t>在收到送审材料之日起 </w:t>
      </w:r>
      <w:r>
        <w:rPr/>
        <w:t>3</w:t>
      </w:r>
      <w:r>
        <w:rPr>
          <w:spacing w:val="-16"/>
        </w:rPr>
        <w:t> 个工作日内通知合同承办单位，合同</w:t>
      </w:r>
      <w:r>
        <w:rPr>
          <w:spacing w:val="-21"/>
          <w:w w:val="95"/>
        </w:rPr>
        <w:t>承办单位应当在指定的期限内补齐相关材料；若未在指定期限 </w:t>
      </w:r>
      <w:r>
        <w:rPr>
          <w:spacing w:val="-18"/>
          <w:w w:val="95"/>
        </w:rPr>
        <w:t>内补齐相关材料，县政府法制机构可将提交审查的合同文本及 </w:t>
      </w:r>
      <w:r>
        <w:rPr>
          <w:spacing w:val="-18"/>
        </w:rPr>
        <w:t>相关材料退回合同承办单位。</w:t>
      </w:r>
    </w:p>
    <w:p>
      <w:pPr>
        <w:pStyle w:val="BodyText"/>
        <w:spacing w:line="300" w:lineRule="auto" w:before="1"/>
        <w:ind w:left="221" w:right="399" w:firstLine="638"/>
      </w:pPr>
      <w:r>
        <w:rPr>
          <w:spacing w:val="-7"/>
        </w:rPr>
        <w:t>县政府法制机构对合同承办单位送审的政府合同，应当在</w:t>
      </w:r>
      <w:r>
        <w:rPr>
          <w:spacing w:val="-15"/>
        </w:rPr>
        <w:t>收齐送审材料之日起 </w:t>
      </w:r>
      <w:r>
        <w:rPr/>
        <w:t>10</w:t>
      </w:r>
      <w:r>
        <w:rPr>
          <w:spacing w:val="-10"/>
        </w:rPr>
        <w:t> 个工作日内审查完毕，并提出书面审查意见；情况复杂的，可以适当延长，延长期限最多不超过15</w:t>
      </w:r>
      <w:r>
        <w:rPr>
          <w:spacing w:val="-15"/>
        </w:rPr>
        <w:t> 个工作日。</w:t>
      </w:r>
    </w:p>
    <w:p>
      <w:pPr>
        <w:pStyle w:val="BodyText"/>
        <w:spacing w:line="300" w:lineRule="auto" w:before="2"/>
        <w:ind w:left="221" w:right="401" w:firstLine="638"/>
      </w:pPr>
      <w:r>
        <w:rPr>
          <w:spacing w:val="-7"/>
        </w:rPr>
        <w:t>县政府工作部门作为一方当事人签订的合同，其合法性审查程序，由县政府工作部门参照上述规定确定。</w:t>
      </w:r>
    </w:p>
    <w:p>
      <w:pPr>
        <w:pStyle w:val="BodyText"/>
        <w:tabs>
          <w:tab w:pos="2621" w:val="left" w:leader="none"/>
        </w:tabs>
        <w:spacing w:line="300" w:lineRule="auto" w:before="2"/>
        <w:ind w:left="221" w:right="425" w:firstLine="638"/>
      </w:pPr>
      <w:r>
        <w:rPr>
          <w:rFonts w:ascii="楷体" w:eastAsia="楷体" w:hint="eastAsia"/>
        </w:rPr>
        <w:t>第十五条</w:t>
        <w:tab/>
      </w:r>
      <w:r>
        <w:rPr/>
        <w:t>合同承办单位应当按照县政府法制机构、</w:t>
      </w:r>
      <w:r>
        <w:rPr>
          <w:spacing w:val="-12"/>
        </w:rPr>
        <w:t>部</w:t>
      </w:r>
      <w:r>
        <w:rPr/>
        <w:t>门法制机构或部门承担法制工作的机构出具的合法性审查意见对政府合同进行修改。</w:t>
      </w:r>
    </w:p>
    <w:p>
      <w:pPr>
        <w:pStyle w:val="BodyText"/>
        <w:spacing w:line="300" w:lineRule="auto" w:before="2"/>
        <w:ind w:left="221" w:right="401" w:firstLine="799"/>
      </w:pPr>
      <w:r>
        <w:rPr/>
        <w:t>合同承办单位对涉及合同实质性内容的合法性审查意见</w:t>
      </w:r>
      <w:r>
        <w:rPr>
          <w:w w:val="95"/>
        </w:rPr>
        <w:t>有异议的，可以向县政府法制机构、部门法制机构或部门承担</w:t>
      </w:r>
    </w:p>
    <w:p>
      <w:pPr>
        <w:spacing w:after="0" w:line="300" w:lineRule="auto"/>
        <w:sectPr>
          <w:pgSz w:w="11910" w:h="16840"/>
          <w:pgMar w:header="0" w:footer="1294" w:top="1580" w:bottom="1480" w:left="1480" w:right="1300"/>
        </w:sectPr>
      </w:pPr>
    </w:p>
    <w:p>
      <w:pPr>
        <w:pStyle w:val="BodyText"/>
        <w:spacing w:line="300" w:lineRule="auto" w:before="115"/>
        <w:ind w:left="221" w:right="399"/>
        <w:jc w:val="both"/>
      </w:pPr>
      <w:r>
        <w:rPr>
          <w:spacing w:val="-10"/>
          <w:w w:val="95"/>
        </w:rPr>
        <w:t>法制工作的机构申请复审一次。复审意见与合同承办单位意见 </w:t>
      </w:r>
      <w:r>
        <w:rPr>
          <w:spacing w:val="-16"/>
          <w:w w:val="95"/>
        </w:rPr>
        <w:t>仍不能达成一致的，合同承办单位应作出说明，报县政府或本 </w:t>
      </w:r>
      <w:r>
        <w:rPr>
          <w:spacing w:val="-16"/>
        </w:rPr>
        <w:t>部门决定。</w:t>
      </w:r>
    </w:p>
    <w:p>
      <w:pPr>
        <w:pStyle w:val="BodyText"/>
        <w:spacing w:line="300" w:lineRule="auto" w:before="2"/>
        <w:ind w:left="221" w:right="399" w:firstLine="638"/>
      </w:pPr>
      <w:r>
        <w:rPr>
          <w:spacing w:val="-6"/>
        </w:rPr>
        <w:t>政府合同的合法性审查意见仅限于政府内部工作使用，县政府及相关部门、单位的知情人员不得对外披露相关内容。</w:t>
      </w:r>
    </w:p>
    <w:p>
      <w:pPr>
        <w:pStyle w:val="BodyText"/>
        <w:spacing w:line="300" w:lineRule="auto" w:before="5"/>
        <w:ind w:left="221" w:right="399" w:firstLine="638"/>
        <w:jc w:val="both"/>
      </w:pPr>
      <w:r>
        <w:rPr>
          <w:rFonts w:ascii="楷体" w:eastAsia="楷体" w:hint="eastAsia"/>
          <w:spacing w:val="30"/>
        </w:rPr>
        <w:t>第十六条 </w:t>
      </w:r>
      <w:r>
        <w:rPr/>
        <w:t>经县政府法制机构、部门法制机构或部门承</w:t>
      </w:r>
      <w:r>
        <w:rPr>
          <w:spacing w:val="-8"/>
          <w:w w:val="95"/>
        </w:rPr>
        <w:t>担法制工作的机构合法性审查后，缔约双方在磋商过程中，对 </w:t>
      </w:r>
      <w:r>
        <w:rPr>
          <w:spacing w:val="-14"/>
        </w:rPr>
        <w:t>合同主体、标的、权利义务、违约责任等实质性内容进行变更</w:t>
      </w:r>
      <w:r>
        <w:rPr>
          <w:spacing w:val="-13"/>
          <w:w w:val="95"/>
        </w:rPr>
        <w:t>的，应当将变更的合同报送县政府法制机构、部门法制机构或 </w:t>
      </w:r>
      <w:r>
        <w:rPr>
          <w:spacing w:val="-19"/>
          <w:w w:val="95"/>
        </w:rPr>
        <w:t>部门承担法制工作的机构再次进行合法性审查，审查通过后再 </w:t>
      </w:r>
      <w:r>
        <w:rPr>
          <w:spacing w:val="-19"/>
        </w:rPr>
        <w:t>签订合同。</w:t>
      </w:r>
    </w:p>
    <w:p>
      <w:pPr>
        <w:pStyle w:val="BodyText"/>
        <w:spacing w:line="297" w:lineRule="auto" w:before="4"/>
        <w:ind w:left="221" w:right="423" w:firstLine="638"/>
        <w:jc w:val="both"/>
      </w:pPr>
      <w:r>
        <w:rPr>
          <w:rFonts w:ascii="楷体" w:eastAsia="楷体" w:hint="eastAsia"/>
        </w:rPr>
        <w:t>第十七条 </w:t>
      </w:r>
      <w:r>
        <w:rPr/>
        <w:t>涉及招商引资的合同应当经过项目评审，评审包括以下内容：</w:t>
      </w:r>
    </w:p>
    <w:p>
      <w:pPr>
        <w:pStyle w:val="BodyText"/>
        <w:spacing w:before="8"/>
        <w:ind w:left="860"/>
      </w:pPr>
      <w:r>
        <w:rPr/>
        <w:t>（一）是否符合国家法律法规的规定；</w:t>
      </w:r>
    </w:p>
    <w:p>
      <w:pPr>
        <w:pStyle w:val="BodyText"/>
        <w:spacing w:line="300" w:lineRule="auto" w:before="112"/>
        <w:ind w:left="221" w:right="242" w:firstLine="638"/>
        <w:jc w:val="both"/>
      </w:pPr>
      <w:r>
        <w:rPr>
          <w:w w:val="95"/>
        </w:rPr>
        <w:t>（二</w:t>
      </w:r>
      <w:r>
        <w:rPr>
          <w:spacing w:val="-72"/>
          <w:w w:val="95"/>
        </w:rPr>
        <w:t>）</w:t>
      </w:r>
      <w:r>
        <w:rPr>
          <w:spacing w:val="-16"/>
          <w:w w:val="95"/>
        </w:rPr>
        <w:t>是否符合国家、省、市产业政策、环保政策及我县、 </w:t>
      </w:r>
      <w:r>
        <w:rPr>
          <w:spacing w:val="-22"/>
          <w:w w:val="95"/>
        </w:rPr>
        <w:t>落户园区的产业发展规划、产业布局</w:t>
      </w:r>
      <w:r>
        <w:rPr>
          <w:w w:val="95"/>
        </w:rPr>
        <w:t>（定位</w:t>
      </w:r>
      <w:r>
        <w:rPr>
          <w:spacing w:val="-72"/>
          <w:w w:val="95"/>
        </w:rPr>
        <w:t>）</w:t>
      </w:r>
      <w:r>
        <w:rPr>
          <w:spacing w:val="-11"/>
          <w:w w:val="95"/>
        </w:rPr>
        <w:t>、土地利用规划、 </w:t>
      </w:r>
      <w:r>
        <w:rPr>
          <w:spacing w:val="-11"/>
        </w:rPr>
        <w:t>城乡建设规划、基础设施承载能力；</w:t>
      </w:r>
    </w:p>
    <w:p>
      <w:pPr>
        <w:pStyle w:val="BodyText"/>
        <w:spacing w:before="2"/>
        <w:ind w:left="860"/>
      </w:pPr>
      <w:r>
        <w:rPr>
          <w:w w:val="95"/>
        </w:rPr>
        <w:t>（三）是否符合环境保护、安全生产、节能减排等要求；</w:t>
      </w:r>
    </w:p>
    <w:p>
      <w:pPr>
        <w:pStyle w:val="BodyText"/>
        <w:spacing w:before="111"/>
        <w:ind w:left="860"/>
      </w:pPr>
      <w:r>
        <w:rPr>
          <w:w w:val="95"/>
        </w:rPr>
        <w:t>（四）是否符合投资规模、投资强度、税收贡献等要求；</w:t>
      </w:r>
    </w:p>
    <w:p>
      <w:pPr>
        <w:pStyle w:val="BodyText"/>
        <w:spacing w:before="115"/>
        <w:ind w:left="860"/>
      </w:pPr>
      <w:r>
        <w:rPr/>
        <w:t>（五）是否具有履约能力和较完善的项目申报材料；</w:t>
      </w:r>
    </w:p>
    <w:p>
      <w:pPr>
        <w:pStyle w:val="BodyText"/>
        <w:spacing w:line="300" w:lineRule="auto" w:before="111"/>
        <w:ind w:left="221" w:right="399" w:firstLine="638"/>
      </w:pPr>
      <w:r>
        <w:rPr/>
        <w:t>（六</w:t>
      </w:r>
      <w:r>
        <w:rPr>
          <w:spacing w:val="-67"/>
        </w:rPr>
        <w:t>）</w:t>
      </w:r>
      <w:r>
        <w:rPr>
          <w:spacing w:val="-4"/>
        </w:rPr>
        <w:t>是否具有稳定的材料供应和产品销售渠道，工艺流程是否先进合理，是否具有投资效益等；</w:t>
      </w:r>
    </w:p>
    <w:p>
      <w:pPr>
        <w:pStyle w:val="BodyText"/>
        <w:spacing w:before="2"/>
        <w:ind w:left="860"/>
      </w:pPr>
      <w:r>
        <w:rPr/>
        <w:t>（七）其他需要涉及的相关问题。</w:t>
      </w:r>
    </w:p>
    <w:p>
      <w:pPr>
        <w:pStyle w:val="BodyText"/>
        <w:spacing w:before="112"/>
        <w:ind w:left="860"/>
      </w:pPr>
      <w:r>
        <w:rPr/>
        <w:t>未经项目落地评审不得签订项目投资协议。</w:t>
      </w:r>
    </w:p>
    <w:p>
      <w:pPr>
        <w:spacing w:after="0"/>
        <w:sectPr>
          <w:pgSz w:w="11910" w:h="16840"/>
          <w:pgMar w:header="0" w:footer="1294" w:top="1580" w:bottom="1480" w:left="1480" w:right="1300"/>
        </w:sectPr>
      </w:pPr>
    </w:p>
    <w:p>
      <w:pPr>
        <w:pStyle w:val="BodyText"/>
        <w:rPr>
          <w:sz w:val="20"/>
        </w:rPr>
      </w:pPr>
    </w:p>
    <w:p>
      <w:pPr>
        <w:pStyle w:val="BodyText"/>
        <w:spacing w:before="7"/>
        <w:rPr>
          <w:sz w:val="24"/>
        </w:rPr>
      </w:pPr>
    </w:p>
    <w:p>
      <w:pPr>
        <w:pStyle w:val="BodyText"/>
        <w:tabs>
          <w:tab w:pos="1439" w:val="left" w:leader="none"/>
        </w:tabs>
        <w:spacing w:before="55"/>
        <w:ind w:right="180"/>
        <w:jc w:val="center"/>
        <w:rPr>
          <w:rFonts w:ascii="黑体" w:eastAsia="黑体" w:hint="eastAsia"/>
        </w:rPr>
      </w:pPr>
      <w:r>
        <w:rPr>
          <w:rFonts w:ascii="黑体" w:eastAsia="黑体" w:hint="eastAsia"/>
        </w:rPr>
        <w:t>第三章</w:t>
        <w:tab/>
        <w:t>合同的履行</w:t>
      </w:r>
    </w:p>
    <w:p>
      <w:pPr>
        <w:pStyle w:val="BodyText"/>
        <w:rPr>
          <w:rFonts w:ascii="黑体"/>
        </w:rPr>
      </w:pPr>
    </w:p>
    <w:p>
      <w:pPr>
        <w:pStyle w:val="BodyText"/>
        <w:spacing w:before="6"/>
        <w:rPr>
          <w:rFonts w:ascii="黑体"/>
          <w:sz w:val="23"/>
        </w:rPr>
      </w:pPr>
    </w:p>
    <w:p>
      <w:pPr>
        <w:pStyle w:val="BodyText"/>
        <w:spacing w:line="300" w:lineRule="auto"/>
        <w:ind w:left="221" w:right="399" w:firstLine="638"/>
        <w:jc w:val="both"/>
      </w:pPr>
      <w:r>
        <w:rPr>
          <w:rFonts w:ascii="楷体" w:eastAsia="楷体" w:hint="eastAsia"/>
          <w:spacing w:val="1"/>
        </w:rPr>
        <w:t>第十八条  </w:t>
      </w:r>
      <w:r>
        <w:rPr/>
        <w:t>政府合同签订后，合同承办单位负责合同的</w:t>
      </w:r>
      <w:r>
        <w:rPr>
          <w:spacing w:val="-12"/>
          <w:w w:val="95"/>
        </w:rPr>
        <w:t>履行，并应及时对履行过程中的问题进行处理。在合同对方当 </w:t>
      </w:r>
      <w:r>
        <w:rPr>
          <w:spacing w:val="-17"/>
          <w:w w:val="95"/>
        </w:rPr>
        <w:t>事人怠于履行合同义务时，合同承办单位应承担督促、监督合 </w:t>
      </w:r>
      <w:r>
        <w:rPr>
          <w:spacing w:val="-17"/>
        </w:rPr>
        <w:t>同义务履行的职责，及时主张请求权。</w:t>
      </w:r>
    </w:p>
    <w:p>
      <w:pPr>
        <w:pStyle w:val="BodyText"/>
        <w:spacing w:line="300" w:lineRule="auto" w:before="2"/>
        <w:ind w:left="221" w:right="399" w:firstLine="638"/>
        <w:jc w:val="both"/>
      </w:pPr>
      <w:r>
        <w:rPr>
          <w:spacing w:val="-9"/>
        </w:rPr>
        <w:t>政府合同的履行涉及其他政府部门的，合同承办单位应及</w:t>
      </w:r>
      <w:r>
        <w:rPr>
          <w:spacing w:val="-15"/>
          <w:w w:val="95"/>
        </w:rPr>
        <w:t>时协调相关部门；相关部门应当按照职责分工，及时履行合同 </w:t>
      </w:r>
      <w:r>
        <w:rPr>
          <w:spacing w:val="-15"/>
        </w:rPr>
        <w:t>的有关约定。</w:t>
      </w:r>
    </w:p>
    <w:p>
      <w:pPr>
        <w:pStyle w:val="BodyText"/>
        <w:spacing w:line="300" w:lineRule="auto" w:before="1"/>
        <w:ind w:left="221" w:right="399" w:firstLine="638"/>
        <w:jc w:val="both"/>
      </w:pPr>
      <w:r>
        <w:rPr>
          <w:rFonts w:ascii="楷体" w:eastAsia="楷体" w:hint="eastAsia"/>
        </w:rPr>
        <w:t>第十九条  </w:t>
      </w:r>
      <w:r>
        <w:rPr/>
        <w:t>政府合同履行过程中，因客观情况发生变化确需变更合同实质性条款(包括合同履行主体、合同标的、合同履行期限、违约责任等)的，合同双方当事人应就变更事项签订补充协议，并按本办法进行合法性审查。</w:t>
      </w:r>
    </w:p>
    <w:p>
      <w:pPr>
        <w:pStyle w:val="BodyText"/>
        <w:spacing w:line="300" w:lineRule="auto" w:before="2"/>
        <w:ind w:left="221" w:right="399" w:firstLine="799"/>
        <w:jc w:val="both"/>
      </w:pPr>
      <w:r>
        <w:rPr/>
        <w:t>因政府一方原因需解除政府合同的，合同承办单位应先</w:t>
      </w:r>
      <w:r>
        <w:rPr>
          <w:spacing w:val="-8"/>
          <w:w w:val="95"/>
        </w:rPr>
        <w:t>就解除合同行为进行风险评估。经风险评估后，确定解除合同 </w:t>
      </w:r>
      <w:r>
        <w:rPr>
          <w:spacing w:val="-12"/>
          <w:w w:val="95"/>
        </w:rPr>
        <w:t>的，应及时向对方当事人发出书面解除通知，并会同对方当事 </w:t>
      </w:r>
      <w:r>
        <w:rPr>
          <w:spacing w:val="-12"/>
        </w:rPr>
        <w:t>人协商合同解除有关事宜。</w:t>
      </w:r>
    </w:p>
    <w:p>
      <w:pPr>
        <w:pStyle w:val="BodyText"/>
        <w:spacing w:line="300" w:lineRule="auto" w:before="2"/>
        <w:ind w:left="221" w:right="242" w:firstLine="638"/>
        <w:jc w:val="both"/>
      </w:pPr>
      <w:r>
        <w:rPr/>
        <w:t>以县政府名义签订的政府合同或经县政府批准签订的政府合同确需解除时，合同承办单位在发出书面解除通知前，需</w:t>
      </w:r>
      <w:r>
        <w:rPr>
          <w:w w:val="95"/>
        </w:rPr>
        <w:t>报请县政府批准。报批时，应同时提交解除合同风险评估报告。</w:t>
      </w:r>
    </w:p>
    <w:p>
      <w:pPr>
        <w:pStyle w:val="BodyText"/>
        <w:spacing w:line="300" w:lineRule="auto" w:before="4"/>
        <w:ind w:left="221" w:right="401" w:firstLine="638"/>
        <w:jc w:val="both"/>
      </w:pPr>
      <w:r>
        <w:rPr>
          <w:rFonts w:ascii="楷体" w:eastAsia="楷体" w:hint="eastAsia"/>
        </w:rPr>
        <w:t>第二十条  </w:t>
      </w:r>
      <w:r>
        <w:rPr/>
        <w:t>出现下列情形之一，合同承办单位应当及时主张权利，采取措施预防和应对合同风险发生：</w:t>
      </w:r>
    </w:p>
    <w:p>
      <w:pPr>
        <w:pStyle w:val="BodyText"/>
        <w:spacing w:line="447" w:lineRule="exact"/>
        <w:ind w:left="860"/>
      </w:pPr>
      <w:r>
        <w:rPr/>
        <w:t>（一）出现不可抗力，可能影响合同正常履行的；</w:t>
      </w:r>
    </w:p>
    <w:p>
      <w:pPr>
        <w:spacing w:after="0" w:line="447" w:lineRule="exact"/>
        <w:sectPr>
          <w:pgSz w:w="11910" w:h="16840"/>
          <w:pgMar w:header="0" w:footer="1294" w:top="1580" w:bottom="1480" w:left="1480" w:right="1300"/>
        </w:sectPr>
      </w:pPr>
    </w:p>
    <w:p>
      <w:pPr>
        <w:pStyle w:val="BodyText"/>
        <w:spacing w:line="300" w:lineRule="auto" w:before="115"/>
        <w:ind w:left="221" w:right="401" w:firstLine="638"/>
      </w:pPr>
      <w:r>
        <w:rPr>
          <w:w w:val="95"/>
        </w:rPr>
        <w:t>（二</w:t>
      </w:r>
      <w:r>
        <w:rPr>
          <w:spacing w:val="-34"/>
          <w:w w:val="95"/>
        </w:rPr>
        <w:t>）</w:t>
      </w:r>
      <w:r>
        <w:rPr>
          <w:spacing w:val="-10"/>
          <w:w w:val="95"/>
        </w:rPr>
        <w:t>合同依据的法律、法规、规章修改或者废止，可能 </w:t>
      </w:r>
      <w:r>
        <w:rPr>
          <w:spacing w:val="-10"/>
        </w:rPr>
        <w:t>影响合同正常履行的；</w:t>
      </w:r>
    </w:p>
    <w:p>
      <w:pPr>
        <w:pStyle w:val="BodyText"/>
        <w:spacing w:line="300" w:lineRule="auto" w:before="3"/>
        <w:ind w:left="221" w:right="401" w:firstLine="638"/>
      </w:pPr>
      <w:r>
        <w:rPr>
          <w:w w:val="95"/>
        </w:rPr>
        <w:t>（三</w:t>
      </w:r>
      <w:r>
        <w:rPr>
          <w:spacing w:val="-67"/>
          <w:w w:val="95"/>
        </w:rPr>
        <w:t>）</w:t>
      </w:r>
      <w:r>
        <w:rPr>
          <w:spacing w:val="-4"/>
          <w:w w:val="95"/>
        </w:rPr>
        <w:t>订立合同时的客观情况发生重大变化，可能影响合 </w:t>
      </w:r>
      <w:r>
        <w:rPr>
          <w:spacing w:val="-4"/>
        </w:rPr>
        <w:t>同正常履行的；</w:t>
      </w:r>
    </w:p>
    <w:p>
      <w:pPr>
        <w:pStyle w:val="BodyText"/>
        <w:spacing w:line="300" w:lineRule="auto" w:before="2"/>
        <w:ind w:left="221" w:right="399" w:firstLine="638"/>
        <w:jc w:val="both"/>
      </w:pPr>
      <w:r>
        <w:rPr/>
        <w:t>（四</w:t>
      </w:r>
      <w:r>
        <w:rPr>
          <w:spacing w:val="-46"/>
        </w:rPr>
        <w:t>）</w:t>
      </w:r>
      <w:r>
        <w:rPr>
          <w:spacing w:val="-7"/>
        </w:rPr>
        <w:t>合同相对人财产状况恶化、重大人事变动、涉及重</w:t>
      </w:r>
      <w:r>
        <w:rPr>
          <w:spacing w:val="-15"/>
          <w:w w:val="95"/>
        </w:rPr>
        <w:t>大诉讼纠纷、严重丧失商业信誉等，导致丧失或者可能丧失履 </w:t>
      </w:r>
      <w:r>
        <w:rPr>
          <w:spacing w:val="-15"/>
        </w:rPr>
        <w:t>约能力的；</w:t>
      </w:r>
    </w:p>
    <w:p>
      <w:pPr>
        <w:pStyle w:val="BodyText"/>
        <w:spacing w:before="1"/>
        <w:ind w:left="860"/>
      </w:pPr>
      <w:r>
        <w:rPr/>
        <w:t>（五）合同相对人预期违约的；</w:t>
      </w:r>
    </w:p>
    <w:p>
      <w:pPr>
        <w:pStyle w:val="BodyText"/>
        <w:spacing w:before="112"/>
        <w:ind w:left="860"/>
      </w:pPr>
      <w:r>
        <w:rPr/>
        <w:t>（六）其他可能存在合同风险的情形。</w:t>
      </w:r>
    </w:p>
    <w:p>
      <w:pPr>
        <w:pStyle w:val="BodyText"/>
        <w:spacing w:line="300" w:lineRule="auto" w:before="112"/>
        <w:ind w:left="221" w:right="266" w:firstLine="638"/>
      </w:pPr>
      <w:r>
        <w:rPr/>
        <w:t>县政府签订的政府合同或经县政府批准签订的政府合同， 在履行过程中发生以上情况的，合同承办单位应当及时拟定应对方案且向县政府提交报告。</w:t>
      </w:r>
    </w:p>
    <w:p>
      <w:pPr>
        <w:pStyle w:val="BodyText"/>
        <w:spacing w:before="4"/>
        <w:rPr>
          <w:sz w:val="40"/>
        </w:rPr>
      </w:pPr>
    </w:p>
    <w:p>
      <w:pPr>
        <w:pStyle w:val="BodyText"/>
        <w:tabs>
          <w:tab w:pos="1439" w:val="left" w:leader="none"/>
        </w:tabs>
        <w:ind w:right="177"/>
        <w:jc w:val="center"/>
        <w:rPr>
          <w:rFonts w:ascii="黑体" w:eastAsia="黑体" w:hint="eastAsia"/>
        </w:rPr>
      </w:pPr>
      <w:r>
        <w:rPr>
          <w:rFonts w:ascii="黑体" w:eastAsia="黑体" w:hint="eastAsia"/>
        </w:rPr>
        <w:t>第四章</w:t>
        <w:tab/>
        <w:t>合同争议的处理</w:t>
      </w:r>
    </w:p>
    <w:p>
      <w:pPr>
        <w:pStyle w:val="BodyText"/>
        <w:rPr>
          <w:rFonts w:ascii="黑体"/>
        </w:rPr>
      </w:pPr>
    </w:p>
    <w:p>
      <w:pPr>
        <w:pStyle w:val="BodyText"/>
        <w:spacing w:before="6"/>
        <w:rPr>
          <w:rFonts w:ascii="黑体"/>
          <w:sz w:val="23"/>
        </w:rPr>
      </w:pPr>
    </w:p>
    <w:p>
      <w:pPr>
        <w:pStyle w:val="BodyText"/>
        <w:spacing w:line="300" w:lineRule="auto"/>
        <w:ind w:left="221" w:right="397" w:firstLine="638"/>
        <w:jc w:val="both"/>
      </w:pPr>
      <w:r>
        <w:rPr>
          <w:rFonts w:ascii="楷体" w:eastAsia="楷体" w:hint="eastAsia"/>
          <w:spacing w:val="1"/>
        </w:rPr>
        <w:t>第二十一条  </w:t>
      </w:r>
      <w:r>
        <w:rPr/>
        <w:t>政府合同在履行过程中产生争议，合同承</w:t>
      </w:r>
      <w:r>
        <w:rPr>
          <w:spacing w:val="-8"/>
          <w:w w:val="95"/>
        </w:rPr>
        <w:t>办单位应当负责查明情况及原因，收集合同的履行情况、合同 </w:t>
      </w:r>
      <w:r>
        <w:rPr>
          <w:spacing w:val="-14"/>
        </w:rPr>
        <w:t>纠纷的起因、违约情形、损害结果、违约行为与损害结果之间</w:t>
      </w:r>
      <w:r>
        <w:rPr/>
        <w:t>的因果关系及免责事由等相关资料，并制定应对方案。</w:t>
      </w:r>
    </w:p>
    <w:p>
      <w:pPr>
        <w:pStyle w:val="BodyText"/>
        <w:spacing w:line="300" w:lineRule="auto" w:before="2"/>
        <w:ind w:left="221" w:right="399" w:firstLine="638"/>
        <w:jc w:val="both"/>
      </w:pPr>
      <w:r>
        <w:rPr>
          <w:rFonts w:ascii="楷体" w:eastAsia="楷体" w:hint="eastAsia"/>
          <w:spacing w:val="1"/>
        </w:rPr>
        <w:t>第二十二条  </w:t>
      </w:r>
      <w:r>
        <w:rPr/>
        <w:t>政府合同发生争议时，合同承办单位应积</w:t>
      </w:r>
      <w:r>
        <w:rPr>
          <w:spacing w:val="-11"/>
          <w:w w:val="95"/>
        </w:rPr>
        <w:t>极主动与争议另一方协商、沟通。经协商或调解达成一致意见 </w:t>
      </w:r>
      <w:r>
        <w:rPr>
          <w:spacing w:val="-11"/>
        </w:rPr>
        <w:t>的，应当签订书面协议。</w:t>
      </w:r>
    </w:p>
    <w:p>
      <w:pPr>
        <w:pStyle w:val="BodyText"/>
        <w:spacing w:line="300" w:lineRule="auto" w:before="2"/>
        <w:ind w:left="221" w:right="399" w:firstLine="638"/>
        <w:jc w:val="both"/>
      </w:pPr>
      <w:r>
        <w:rPr>
          <w:rFonts w:ascii="楷体" w:eastAsia="楷体" w:hint="eastAsia"/>
          <w:spacing w:val="1"/>
        </w:rPr>
        <w:t>第二十三条 </w:t>
      </w:r>
      <w:r>
        <w:rPr/>
        <w:t>政府合同争议经协商不能达成一致意见， </w:t>
      </w:r>
      <w:r>
        <w:rPr>
          <w:spacing w:val="-10"/>
          <w:w w:val="95"/>
        </w:rPr>
        <w:t>需提起诉讼或提出仲裁申请的，合同承办单位应当全面收集有</w:t>
      </w:r>
    </w:p>
    <w:p>
      <w:pPr>
        <w:spacing w:after="0" w:line="300" w:lineRule="auto"/>
        <w:jc w:val="both"/>
        <w:sectPr>
          <w:pgSz w:w="11910" w:h="16840"/>
          <w:pgMar w:header="0" w:footer="1294" w:top="1580" w:bottom="1480" w:left="1480" w:right="1300"/>
        </w:sectPr>
      </w:pPr>
    </w:p>
    <w:p>
      <w:pPr>
        <w:pStyle w:val="BodyText"/>
        <w:spacing w:line="300" w:lineRule="auto" w:before="115"/>
        <w:ind w:left="221" w:right="399"/>
      </w:pPr>
      <w:r>
        <w:rPr>
          <w:spacing w:val="-12"/>
          <w:w w:val="95"/>
        </w:rPr>
        <w:t>关对方违约、对方违约给政府一方造成的损失、政府一方履行 </w:t>
      </w:r>
      <w:r>
        <w:rPr>
          <w:spacing w:val="-12"/>
        </w:rPr>
        <w:t>合同情况等方面的证据材料。</w:t>
      </w:r>
    </w:p>
    <w:p>
      <w:pPr>
        <w:pStyle w:val="BodyText"/>
        <w:spacing w:line="300" w:lineRule="auto" w:before="3"/>
        <w:ind w:left="221" w:right="401" w:firstLine="638"/>
      </w:pPr>
      <w:r>
        <w:rPr>
          <w:spacing w:val="-9"/>
        </w:rPr>
        <w:t>政府一方提起诉讼或提出仲裁申请的，原则上不得迟于法定诉讼或仲裁时效届满前３个月。</w:t>
      </w:r>
    </w:p>
    <w:p>
      <w:pPr>
        <w:pStyle w:val="BodyText"/>
        <w:tabs>
          <w:tab w:pos="2947" w:val="left" w:leader="none"/>
        </w:tabs>
        <w:spacing w:line="300" w:lineRule="auto" w:before="2"/>
        <w:ind w:left="221" w:right="401" w:firstLine="638"/>
      </w:pPr>
      <w:r>
        <w:rPr>
          <w:rFonts w:ascii="楷体" w:eastAsia="楷体" w:hint="eastAsia"/>
        </w:rPr>
        <w:t>第二十四条</w:t>
        <w:tab/>
      </w:r>
      <w:r>
        <w:rPr/>
        <w:t>因政府合同争议被诉或被提请仲裁的，合同承办单位应及时做好应诉准备并积极应诉。</w:t>
      </w:r>
    </w:p>
    <w:p>
      <w:pPr>
        <w:pStyle w:val="BodyText"/>
        <w:spacing w:line="300" w:lineRule="auto" w:before="2"/>
        <w:ind w:left="221" w:right="399" w:firstLine="638"/>
        <w:jc w:val="both"/>
      </w:pPr>
      <w:r>
        <w:rPr>
          <w:rFonts w:ascii="楷体" w:eastAsia="楷体" w:hint="eastAsia"/>
          <w:spacing w:val="1"/>
        </w:rPr>
        <w:t>第二十五条  </w:t>
      </w:r>
      <w:r>
        <w:rPr/>
        <w:t>合同承办单位在纠纷处理过程中，未经县</w:t>
      </w:r>
      <w:r>
        <w:rPr>
          <w:spacing w:val="-12"/>
          <w:w w:val="95"/>
        </w:rPr>
        <w:t>政府同意，承办单位不得放弃属于县政府或县政府部门一方享 </w:t>
      </w:r>
      <w:r>
        <w:rPr>
          <w:spacing w:val="-12"/>
        </w:rPr>
        <w:t>有的合法权益。</w:t>
      </w:r>
    </w:p>
    <w:p>
      <w:pPr>
        <w:pStyle w:val="BodyText"/>
        <w:spacing w:before="1"/>
        <w:rPr>
          <w:sz w:val="40"/>
        </w:rPr>
      </w:pPr>
    </w:p>
    <w:p>
      <w:pPr>
        <w:pStyle w:val="BodyText"/>
        <w:tabs>
          <w:tab w:pos="1439" w:val="left" w:leader="none"/>
        </w:tabs>
        <w:ind w:right="177"/>
        <w:jc w:val="center"/>
        <w:rPr>
          <w:rFonts w:ascii="黑体" w:eastAsia="黑体" w:hint="eastAsia"/>
        </w:rPr>
      </w:pPr>
      <w:r>
        <w:rPr>
          <w:rFonts w:ascii="黑体" w:eastAsia="黑体" w:hint="eastAsia"/>
        </w:rPr>
        <w:t>第五章</w:t>
        <w:tab/>
        <w:t>合同资料、档案的管理</w:t>
      </w:r>
    </w:p>
    <w:p>
      <w:pPr>
        <w:pStyle w:val="BodyText"/>
        <w:rPr>
          <w:rFonts w:ascii="黑体"/>
        </w:rPr>
      </w:pPr>
    </w:p>
    <w:p>
      <w:pPr>
        <w:pStyle w:val="BodyText"/>
        <w:spacing w:before="6"/>
        <w:rPr>
          <w:rFonts w:ascii="黑体"/>
          <w:sz w:val="23"/>
        </w:rPr>
      </w:pPr>
    </w:p>
    <w:p>
      <w:pPr>
        <w:pStyle w:val="BodyText"/>
        <w:spacing w:line="300" w:lineRule="auto"/>
        <w:ind w:left="221" w:right="399" w:firstLine="638"/>
        <w:jc w:val="both"/>
      </w:pPr>
      <w:r>
        <w:rPr>
          <w:rFonts w:ascii="楷体" w:eastAsia="楷体" w:hint="eastAsia"/>
          <w:spacing w:val="1"/>
        </w:rPr>
        <w:t>第二十六条  </w:t>
      </w:r>
      <w:r>
        <w:rPr/>
        <w:t>除另有指定外，合同承办单位应指定专门</w:t>
      </w:r>
      <w:r>
        <w:rPr>
          <w:spacing w:val="6"/>
          <w:w w:val="95"/>
        </w:rPr>
        <w:t>机构或专人负责妥善保管合同订立及履行过程中产生的全部 </w:t>
      </w:r>
      <w:r>
        <w:rPr>
          <w:spacing w:val="6"/>
        </w:rPr>
        <w:t>原始文件资料，包括：</w:t>
      </w:r>
    </w:p>
    <w:p>
      <w:pPr>
        <w:pStyle w:val="BodyText"/>
        <w:spacing w:line="300" w:lineRule="auto"/>
        <w:ind w:left="221" w:right="266" w:firstLine="638"/>
      </w:pPr>
      <w:r>
        <w:rPr/>
        <w:t>（一）合同前期谈判过程中的相关材料，包括往来函电、谈判工作计划、谈判备忘录及其他与合同签订有关的会议纪要、视听资料、电子邮件等；</w:t>
      </w:r>
    </w:p>
    <w:p>
      <w:pPr>
        <w:pStyle w:val="BodyText"/>
        <w:spacing w:line="300" w:lineRule="auto" w:before="2"/>
        <w:ind w:left="221" w:right="266" w:firstLine="638"/>
      </w:pPr>
      <w:r>
        <w:rPr/>
        <w:t>（二）合同对方当事人的权利凭证、资质、资产、信用、履约能力、知识产权状况调查材料；</w:t>
      </w:r>
    </w:p>
    <w:p>
      <w:pPr>
        <w:pStyle w:val="BodyText"/>
        <w:spacing w:before="2"/>
        <w:ind w:left="860"/>
      </w:pPr>
      <w:r>
        <w:rPr/>
        <w:t>（三）正式签订的合同文本及其附件；</w:t>
      </w:r>
    </w:p>
    <w:p>
      <w:pPr>
        <w:pStyle w:val="BodyText"/>
        <w:spacing w:line="300" w:lineRule="auto" w:before="112"/>
        <w:ind w:left="221" w:right="266" w:firstLine="638"/>
      </w:pPr>
      <w:r>
        <w:rPr/>
        <w:t>（四）合同履行过程中签订的有关补充协议、变更协议、来往信函、确认书、电子邮件等材料；</w:t>
      </w:r>
    </w:p>
    <w:p>
      <w:pPr>
        <w:pStyle w:val="BodyText"/>
        <w:spacing w:before="2"/>
        <w:ind w:left="860"/>
      </w:pPr>
      <w:r>
        <w:rPr/>
        <w:t>（五）签约审批材料；</w:t>
      </w:r>
    </w:p>
    <w:p>
      <w:pPr>
        <w:spacing w:after="0"/>
        <w:sectPr>
          <w:pgSz w:w="11910" w:h="16840"/>
          <w:pgMar w:header="0" w:footer="1294" w:top="1580" w:bottom="1480" w:left="1480" w:right="1300"/>
        </w:sectPr>
      </w:pPr>
    </w:p>
    <w:p>
      <w:pPr>
        <w:pStyle w:val="BodyText"/>
        <w:spacing w:before="115"/>
        <w:ind w:left="860"/>
      </w:pPr>
      <w:r>
        <w:rPr/>
        <w:t>（六）合法性审查意见及相关部门的意见；</w:t>
      </w:r>
    </w:p>
    <w:p>
      <w:pPr>
        <w:pStyle w:val="BodyText"/>
        <w:spacing w:before="115"/>
        <w:ind w:left="860"/>
      </w:pPr>
      <w:r>
        <w:rPr/>
        <w:t>（七）履行情况记载；</w:t>
      </w:r>
    </w:p>
    <w:p>
      <w:pPr>
        <w:pStyle w:val="BodyText"/>
        <w:spacing w:before="111"/>
        <w:ind w:left="860"/>
      </w:pPr>
      <w:r>
        <w:rPr/>
        <w:t>（八）合同争议的处理情况记载及有关材料；</w:t>
      </w:r>
    </w:p>
    <w:p>
      <w:pPr>
        <w:pStyle w:val="BodyText"/>
        <w:spacing w:before="112"/>
        <w:ind w:left="860"/>
      </w:pPr>
      <w:r>
        <w:rPr/>
        <w:t>（九）与合同有关的其他文件资料。</w:t>
      </w:r>
    </w:p>
    <w:p>
      <w:pPr>
        <w:pStyle w:val="BodyText"/>
        <w:spacing w:line="300" w:lineRule="auto" w:before="114"/>
        <w:ind w:left="221" w:right="399" w:firstLine="638"/>
        <w:jc w:val="both"/>
      </w:pPr>
      <w:r>
        <w:rPr>
          <w:rFonts w:ascii="楷体" w:eastAsia="楷体" w:hint="eastAsia"/>
          <w:spacing w:val="1"/>
        </w:rPr>
        <w:t>第二十七条  </w:t>
      </w:r>
      <w:r>
        <w:rPr/>
        <w:t>政府合同履行完毕后，除另有指定外，合</w:t>
      </w:r>
      <w:r>
        <w:rPr>
          <w:spacing w:val="6"/>
          <w:w w:val="95"/>
        </w:rPr>
        <w:t>同承办单位应当指定专门机构或专人及时将合同及相关资料 </w:t>
      </w:r>
      <w:r>
        <w:rPr>
          <w:spacing w:val="6"/>
        </w:rPr>
        <w:t>整理归档。除法律另有规定外，不得擅自处理、销毁。</w:t>
      </w:r>
    </w:p>
    <w:p>
      <w:pPr>
        <w:pStyle w:val="BodyText"/>
        <w:spacing w:line="300" w:lineRule="auto" w:before="2"/>
        <w:ind w:left="221" w:right="399" w:firstLine="638"/>
        <w:jc w:val="both"/>
      </w:pPr>
      <w:r>
        <w:rPr>
          <w:rFonts w:ascii="楷体" w:eastAsia="楷体" w:hint="eastAsia"/>
          <w:spacing w:val="1"/>
        </w:rPr>
        <w:t>第二十八条  </w:t>
      </w:r>
      <w:r>
        <w:rPr/>
        <w:t>因人事变动或机构调整，合同承办单位指</w:t>
      </w:r>
      <w:r>
        <w:rPr>
          <w:spacing w:val="6"/>
          <w:w w:val="95"/>
        </w:rPr>
        <w:t>定的负责合同文件资料保管及归档管理的专门机构或专人发 </w:t>
      </w:r>
      <w:r>
        <w:rPr>
          <w:spacing w:val="6"/>
        </w:rPr>
        <w:t>生变化的，应明确新的保管机构或人员。</w:t>
      </w:r>
    </w:p>
    <w:p>
      <w:pPr>
        <w:pStyle w:val="BodyText"/>
        <w:spacing w:line="300" w:lineRule="auto" w:before="2"/>
        <w:ind w:left="221" w:right="399" w:firstLine="638"/>
        <w:jc w:val="both"/>
      </w:pPr>
      <w:r>
        <w:rPr>
          <w:rFonts w:ascii="楷体" w:eastAsia="楷体" w:hint="eastAsia"/>
        </w:rPr>
        <w:t>第二十九条  </w:t>
      </w:r>
      <w:r>
        <w:rPr/>
        <w:t>实行政府合同备案制度。承办单位应在合同签订后 5 个工作日内将合同正式文本报县政府法制机构备案。</w:t>
      </w:r>
    </w:p>
    <w:p>
      <w:pPr>
        <w:pStyle w:val="BodyText"/>
        <w:spacing w:line="300" w:lineRule="auto" w:before="2"/>
        <w:ind w:left="221" w:right="266" w:firstLine="638"/>
      </w:pPr>
      <w:r>
        <w:rPr/>
        <w:t>县政府法制机构可以通过调阅政府合同的档案和相关资料，对承办单位的政府合同进行抽查，监督政府合同的管理。</w:t>
      </w:r>
    </w:p>
    <w:p>
      <w:pPr>
        <w:pStyle w:val="BodyText"/>
        <w:spacing w:before="1"/>
        <w:rPr>
          <w:sz w:val="40"/>
        </w:rPr>
      </w:pPr>
    </w:p>
    <w:p>
      <w:pPr>
        <w:pStyle w:val="BodyText"/>
        <w:tabs>
          <w:tab w:pos="1439" w:val="left" w:leader="none"/>
        </w:tabs>
        <w:spacing w:before="1"/>
        <w:ind w:right="177"/>
        <w:jc w:val="center"/>
        <w:rPr>
          <w:rFonts w:ascii="黑体" w:eastAsia="黑体" w:hint="eastAsia"/>
        </w:rPr>
      </w:pPr>
      <w:r>
        <w:rPr>
          <w:rFonts w:ascii="黑体" w:eastAsia="黑体" w:hint="eastAsia"/>
        </w:rPr>
        <w:t>第六章</w:t>
        <w:tab/>
        <w:t>责任追究</w:t>
      </w:r>
    </w:p>
    <w:p>
      <w:pPr>
        <w:pStyle w:val="BodyText"/>
        <w:rPr>
          <w:rFonts w:ascii="黑体"/>
        </w:rPr>
      </w:pPr>
    </w:p>
    <w:p>
      <w:pPr>
        <w:pStyle w:val="BodyText"/>
        <w:spacing w:before="6"/>
        <w:rPr>
          <w:rFonts w:ascii="黑体"/>
          <w:sz w:val="23"/>
        </w:rPr>
      </w:pPr>
    </w:p>
    <w:p>
      <w:pPr>
        <w:pStyle w:val="BodyText"/>
        <w:tabs>
          <w:tab w:pos="2626" w:val="left" w:leader="none"/>
        </w:tabs>
        <w:spacing w:line="300" w:lineRule="auto"/>
        <w:ind w:left="221" w:right="242" w:firstLine="638"/>
      </w:pPr>
      <w:r>
        <w:rPr>
          <w:rFonts w:ascii="楷体" w:eastAsia="楷体" w:hint="eastAsia"/>
        </w:rPr>
        <w:t>第三十条</w:t>
        <w:tab/>
      </w:r>
      <w:r>
        <w:rPr/>
        <w:t>县政府及其部门、政府合同承办单位及其工</w:t>
      </w:r>
      <w:r>
        <w:rPr>
          <w:w w:val="95"/>
        </w:rPr>
        <w:t>作人员违反本办法</w:t>
      </w:r>
      <w:r>
        <w:rPr>
          <w:spacing w:val="-147"/>
          <w:w w:val="95"/>
        </w:rPr>
        <w:t>，</w:t>
      </w:r>
      <w:r>
        <w:rPr>
          <w:w w:val="95"/>
        </w:rPr>
        <w:t>有下列行为之一的</w:t>
      </w:r>
      <w:r>
        <w:rPr>
          <w:spacing w:val="-149"/>
          <w:w w:val="95"/>
        </w:rPr>
        <w:t>，</w:t>
      </w:r>
      <w:r>
        <w:rPr>
          <w:w w:val="95"/>
        </w:rPr>
        <w:t>由主管机关责令改正； </w:t>
      </w:r>
      <w:r>
        <w:rPr/>
        <w:t>造成较大经济损失的</w:t>
      </w:r>
      <w:r>
        <w:rPr>
          <w:spacing w:val="-67"/>
        </w:rPr>
        <w:t>，</w:t>
      </w:r>
      <w:r>
        <w:rPr/>
        <w:t>由任免机关</w:t>
      </w:r>
      <w:r>
        <w:rPr>
          <w:spacing w:val="-67"/>
        </w:rPr>
        <w:t>、</w:t>
      </w:r>
      <w:r>
        <w:rPr/>
        <w:t>监察机关或者其他有权机关依法追究行政责任；涉嫌犯罪的，移送司法机关处理：</w:t>
      </w:r>
    </w:p>
    <w:p>
      <w:pPr>
        <w:pStyle w:val="BodyText"/>
        <w:spacing w:before="1"/>
        <w:ind w:left="860"/>
      </w:pPr>
      <w:r>
        <w:rPr/>
        <w:t>（一）违反法律、法规、规章签订合同的；</w:t>
      </w:r>
    </w:p>
    <w:p>
      <w:pPr>
        <w:pStyle w:val="BodyText"/>
        <w:spacing w:before="112"/>
        <w:ind w:left="860"/>
      </w:pPr>
      <w:r>
        <w:rPr/>
        <w:t>（二）未经合法性审查或未履行报批程序，擅自对外签订</w:t>
      </w:r>
    </w:p>
    <w:p>
      <w:pPr>
        <w:spacing w:after="0"/>
        <w:sectPr>
          <w:pgSz w:w="11910" w:h="16840"/>
          <w:pgMar w:header="0" w:footer="1294" w:top="1580" w:bottom="1480" w:left="1480" w:right="1300"/>
        </w:sectPr>
      </w:pPr>
    </w:p>
    <w:p>
      <w:pPr>
        <w:pStyle w:val="BodyText"/>
        <w:spacing w:before="115"/>
        <w:ind w:left="221"/>
      </w:pPr>
      <w:r>
        <w:rPr/>
        <w:t>合同的；</w:t>
      </w:r>
    </w:p>
    <w:p>
      <w:pPr>
        <w:pStyle w:val="BodyText"/>
        <w:spacing w:before="115"/>
        <w:ind w:left="860"/>
      </w:pPr>
      <w:r>
        <w:rPr/>
        <w:t>（三）无正当理由未采纳合法性审查意见的；</w:t>
      </w:r>
    </w:p>
    <w:p>
      <w:pPr>
        <w:pStyle w:val="BodyText"/>
        <w:spacing w:line="300" w:lineRule="auto" w:before="111"/>
        <w:ind w:left="221" w:right="399" w:firstLine="638"/>
      </w:pPr>
      <w:r>
        <w:rPr>
          <w:w w:val="95"/>
        </w:rPr>
        <w:t>（四）</w:t>
      </w:r>
      <w:r>
        <w:rPr>
          <w:spacing w:val="-12"/>
          <w:w w:val="95"/>
        </w:rPr>
        <w:t>在合同签订、履行过程中，与他人恶意串通，损害 </w:t>
      </w:r>
      <w:r>
        <w:rPr>
          <w:spacing w:val="-12"/>
        </w:rPr>
        <w:t>政府利益的；</w:t>
      </w:r>
    </w:p>
    <w:p>
      <w:pPr>
        <w:pStyle w:val="BodyText"/>
        <w:spacing w:line="300" w:lineRule="auto" w:before="2"/>
        <w:ind w:left="221" w:right="266" w:firstLine="638"/>
      </w:pPr>
      <w:r>
        <w:rPr/>
        <w:t>（五）</w:t>
      </w:r>
      <w:r>
        <w:rPr>
          <w:spacing w:val="-1"/>
        </w:rPr>
        <w:t>在合同签订、履行过程中，玩忽职守、滥用职权、</w:t>
      </w:r>
      <w:r>
        <w:rPr/>
        <w:t>收受贿赂的；</w:t>
      </w:r>
    </w:p>
    <w:p>
      <w:pPr>
        <w:pStyle w:val="BodyText"/>
        <w:spacing w:line="300" w:lineRule="auto"/>
        <w:ind w:left="221" w:right="399" w:firstLine="638"/>
      </w:pPr>
      <w:r>
        <w:rPr/>
        <w:t>（六）</w:t>
      </w:r>
      <w:r>
        <w:rPr>
          <w:spacing w:val="-13"/>
        </w:rPr>
        <w:t>在应诉过程中，因逾期举证、应诉期限过期等应诉不当而导致败诉的；</w:t>
      </w:r>
    </w:p>
    <w:p>
      <w:pPr>
        <w:pStyle w:val="BodyText"/>
        <w:spacing w:line="300" w:lineRule="auto" w:before="2"/>
        <w:ind w:left="221" w:right="399" w:firstLine="638"/>
      </w:pPr>
      <w:r>
        <w:rPr/>
        <w:t>（七）</w:t>
      </w:r>
      <w:r>
        <w:rPr>
          <w:spacing w:val="-12"/>
        </w:rPr>
        <w:t>在纠纷处理中，擅自放弃属于县政府及其部门在合同中享有的合法权益的；</w:t>
      </w:r>
    </w:p>
    <w:p>
      <w:pPr>
        <w:pStyle w:val="BodyText"/>
        <w:spacing w:line="300" w:lineRule="auto" w:before="2"/>
        <w:ind w:left="221" w:right="401" w:firstLine="638"/>
      </w:pPr>
      <w:r>
        <w:rPr>
          <w:w w:val="95"/>
        </w:rPr>
        <w:t>（八）</w:t>
      </w:r>
      <w:r>
        <w:rPr>
          <w:spacing w:val="8"/>
          <w:w w:val="95"/>
        </w:rPr>
        <w:t>擅自披露内部合法性审查意见及批准文件造成严 </w:t>
      </w:r>
      <w:r>
        <w:rPr>
          <w:spacing w:val="8"/>
        </w:rPr>
        <w:t>重后果的；</w:t>
      </w:r>
    </w:p>
    <w:p>
      <w:pPr>
        <w:pStyle w:val="BodyText"/>
        <w:spacing w:line="447" w:lineRule="exact"/>
        <w:ind w:left="860"/>
      </w:pPr>
      <w:r>
        <w:rPr/>
        <w:t>（九）未妥善保管政府合同资料、档案材料造成丢失的；</w:t>
      </w:r>
    </w:p>
    <w:p>
      <w:pPr>
        <w:pStyle w:val="BodyText"/>
        <w:spacing w:line="300" w:lineRule="auto" w:before="114"/>
        <w:ind w:left="221" w:right="399" w:firstLine="638"/>
        <w:jc w:val="both"/>
      </w:pPr>
      <w:r>
        <w:rPr/>
        <w:t>（十）</w:t>
      </w:r>
      <w:r>
        <w:rPr>
          <w:spacing w:val="-9"/>
        </w:rPr>
        <w:t>非法干预或影响县政府法制机构、部门法制机构或</w:t>
      </w:r>
      <w:r>
        <w:rPr>
          <w:spacing w:val="6"/>
          <w:w w:val="95"/>
        </w:rPr>
        <w:t>部门承担法制工作的机构工作人员依法出具合法性审查意见 </w:t>
      </w:r>
      <w:r>
        <w:rPr>
          <w:spacing w:val="6"/>
        </w:rPr>
        <w:t>的。</w:t>
      </w:r>
    </w:p>
    <w:p>
      <w:pPr>
        <w:pStyle w:val="BodyText"/>
        <w:spacing w:line="300" w:lineRule="auto" w:before="2"/>
        <w:ind w:left="221" w:right="399" w:firstLine="638"/>
        <w:jc w:val="both"/>
      </w:pPr>
      <w:r>
        <w:rPr>
          <w:spacing w:val="-12"/>
        </w:rPr>
        <w:t>县政府法制机构、部门法制机构或部门承担法制工作的机</w:t>
      </w:r>
      <w:r>
        <w:rPr>
          <w:spacing w:val="-18"/>
          <w:w w:val="95"/>
        </w:rPr>
        <w:t>构及其工作人员在政府合同合法性审查工作中，除具有本条第 一款第</w:t>
      </w:r>
      <w:r>
        <w:rPr>
          <w:w w:val="95"/>
        </w:rPr>
        <w:t>（四</w:t>
      </w:r>
      <w:r>
        <w:rPr>
          <w:spacing w:val="-15"/>
          <w:w w:val="95"/>
        </w:rPr>
        <w:t>）</w:t>
      </w:r>
      <w:r>
        <w:rPr>
          <w:spacing w:val="-34"/>
          <w:w w:val="95"/>
        </w:rPr>
        <w:t>、</w:t>
      </w:r>
      <w:r>
        <w:rPr>
          <w:w w:val="95"/>
        </w:rPr>
        <w:t>（五</w:t>
      </w:r>
      <w:r>
        <w:rPr>
          <w:spacing w:val="-15"/>
          <w:w w:val="95"/>
        </w:rPr>
        <w:t>）</w:t>
      </w:r>
      <w:r>
        <w:rPr>
          <w:spacing w:val="-34"/>
          <w:w w:val="95"/>
        </w:rPr>
        <w:t>、</w:t>
      </w:r>
      <w:r>
        <w:rPr>
          <w:w w:val="95"/>
        </w:rPr>
        <w:t>（八</w:t>
      </w:r>
      <w:r>
        <w:rPr>
          <w:spacing w:val="-15"/>
          <w:w w:val="95"/>
        </w:rPr>
        <w:t>）</w:t>
      </w:r>
      <w:r>
        <w:rPr>
          <w:w w:val="95"/>
        </w:rPr>
        <w:t>项行为或出具的合法性审查意 </w:t>
      </w:r>
      <w:r>
        <w:rPr/>
        <w:t>见违反法律规定外，不因其合法性审查行为而被追究责任。</w:t>
      </w:r>
    </w:p>
    <w:p>
      <w:pPr>
        <w:pStyle w:val="BodyText"/>
        <w:spacing w:before="4"/>
        <w:rPr>
          <w:sz w:val="40"/>
        </w:rPr>
      </w:pPr>
    </w:p>
    <w:p>
      <w:pPr>
        <w:pStyle w:val="BodyText"/>
        <w:tabs>
          <w:tab w:pos="1439" w:val="left" w:leader="none"/>
          <w:tab w:pos="2239" w:val="left" w:leader="none"/>
        </w:tabs>
        <w:ind w:right="180"/>
        <w:jc w:val="center"/>
        <w:rPr>
          <w:rFonts w:ascii="黑体" w:eastAsia="黑体" w:hint="eastAsia"/>
        </w:rPr>
      </w:pPr>
      <w:r>
        <w:rPr>
          <w:rFonts w:ascii="黑体" w:eastAsia="黑体" w:hint="eastAsia"/>
        </w:rPr>
        <w:t>第七章</w:t>
        <w:tab/>
        <w:t>附</w:t>
        <w:tab/>
        <w:t>则</w:t>
      </w:r>
    </w:p>
    <w:p>
      <w:pPr>
        <w:pStyle w:val="BodyText"/>
        <w:rPr>
          <w:rFonts w:ascii="黑体"/>
        </w:rPr>
      </w:pPr>
    </w:p>
    <w:p>
      <w:pPr>
        <w:pStyle w:val="BodyText"/>
        <w:spacing w:before="6"/>
        <w:rPr>
          <w:rFonts w:ascii="黑体"/>
          <w:sz w:val="23"/>
        </w:rPr>
      </w:pPr>
    </w:p>
    <w:p>
      <w:pPr>
        <w:pStyle w:val="BodyText"/>
        <w:tabs>
          <w:tab w:pos="2779" w:val="left" w:leader="none"/>
        </w:tabs>
        <w:ind w:left="860"/>
      </w:pPr>
      <w:r>
        <w:rPr>
          <w:rFonts w:ascii="楷体" w:eastAsia="楷体" w:hint="eastAsia"/>
        </w:rPr>
        <w:t>第三十一条</w:t>
        <w:tab/>
      </w:r>
      <w:r>
        <w:rPr/>
        <w:t>各乡</w:t>
      </w:r>
      <w:r>
        <w:rPr>
          <w:spacing w:val="-34"/>
        </w:rPr>
        <w:t>镇</w:t>
      </w:r>
      <w:r>
        <w:rPr/>
        <w:t>（街道</w:t>
      </w:r>
      <w:r>
        <w:rPr>
          <w:spacing w:val="-34"/>
        </w:rPr>
        <w:t>）</w:t>
      </w:r>
      <w:r>
        <w:rPr>
          <w:spacing w:val="-31"/>
        </w:rPr>
        <w:t>、</w:t>
      </w:r>
      <w:r>
        <w:rPr/>
        <w:t>开发区</w:t>
      </w:r>
      <w:r>
        <w:rPr>
          <w:spacing w:val="-34"/>
        </w:rPr>
        <w:t>、</w:t>
      </w:r>
      <w:r>
        <w:rPr/>
        <w:t>景区签订政府合</w:t>
      </w:r>
    </w:p>
    <w:p>
      <w:pPr>
        <w:spacing w:after="0"/>
        <w:sectPr>
          <w:footerReference w:type="default" r:id="rId29"/>
          <w:pgSz w:w="11910" w:h="16840"/>
          <w:pgMar w:footer="1294" w:header="0" w:top="1580" w:bottom="1480" w:left="1480" w:right="1300"/>
          <w:pgNumType w:start="40"/>
        </w:sectPr>
      </w:pPr>
    </w:p>
    <w:p>
      <w:pPr>
        <w:pStyle w:val="BodyText"/>
        <w:spacing w:before="115"/>
        <w:ind w:left="221"/>
      </w:pPr>
      <w:r>
        <w:rPr/>
        <w:t>同应参照本办法规定执行。</w:t>
      </w:r>
    </w:p>
    <w:p>
      <w:pPr>
        <w:pStyle w:val="BodyText"/>
        <w:tabs>
          <w:tab w:pos="2820" w:val="left" w:leader="none"/>
        </w:tabs>
        <w:spacing w:before="115"/>
        <w:ind w:left="860"/>
      </w:pPr>
      <w:r>
        <w:rPr>
          <w:rFonts w:ascii="楷体" w:eastAsia="楷体" w:hint="eastAsia"/>
          <w:spacing w:val="7"/>
        </w:rPr>
        <w:t>第</w:t>
      </w:r>
      <w:r>
        <w:rPr>
          <w:rFonts w:ascii="楷体" w:eastAsia="楷体" w:hint="eastAsia"/>
          <w:spacing w:val="5"/>
        </w:rPr>
        <w:t>三</w:t>
      </w:r>
      <w:r>
        <w:rPr>
          <w:rFonts w:ascii="楷体" w:eastAsia="楷体" w:hint="eastAsia"/>
          <w:spacing w:val="7"/>
        </w:rPr>
        <w:t>十二</w:t>
      </w:r>
      <w:r>
        <w:rPr>
          <w:rFonts w:ascii="楷体" w:eastAsia="楷体" w:hint="eastAsia"/>
        </w:rPr>
        <w:t>条</w:t>
        <w:tab/>
      </w:r>
      <w:r>
        <w:rPr>
          <w:spacing w:val="7"/>
        </w:rPr>
        <w:t>本</w:t>
      </w:r>
      <w:r>
        <w:rPr>
          <w:spacing w:val="5"/>
        </w:rPr>
        <w:t>办</w:t>
      </w:r>
      <w:r>
        <w:rPr>
          <w:spacing w:val="7"/>
        </w:rPr>
        <w:t>法自</w:t>
      </w:r>
      <w:r>
        <w:rPr/>
        <w:t>起</w:t>
      </w:r>
      <w:r>
        <w:rPr>
          <w:spacing w:val="-76"/>
        </w:rPr>
        <w:t> </w:t>
      </w:r>
      <w:r>
        <w:rPr/>
        <w:t>2018</w:t>
      </w:r>
      <w:r>
        <w:rPr>
          <w:spacing w:val="-74"/>
        </w:rPr>
        <w:t> </w:t>
      </w:r>
      <w:r>
        <w:rPr/>
        <w:t>年</w:t>
      </w:r>
      <w:r>
        <w:rPr>
          <w:spacing w:val="-77"/>
        </w:rPr>
        <w:t> </w:t>
      </w:r>
      <w:r>
        <w:rPr/>
        <w:t>7</w:t>
      </w:r>
      <w:r>
        <w:rPr>
          <w:spacing w:val="-75"/>
        </w:rPr>
        <w:t> </w:t>
      </w:r>
      <w:r>
        <w:rPr/>
        <w:t>月</w:t>
      </w:r>
      <w:r>
        <w:rPr>
          <w:spacing w:val="-76"/>
        </w:rPr>
        <w:t> </w:t>
      </w:r>
      <w:r>
        <w:rPr/>
        <w:t>1</w:t>
      </w:r>
      <w:r>
        <w:rPr>
          <w:spacing w:val="-76"/>
        </w:rPr>
        <w:t> </w:t>
      </w:r>
      <w:r>
        <w:rPr>
          <w:spacing w:val="7"/>
        </w:rPr>
        <w:t>日</w:t>
      </w:r>
      <w:r>
        <w:rPr>
          <w:spacing w:val="5"/>
        </w:rPr>
        <w:t>施</w:t>
      </w:r>
      <w:r>
        <w:rPr>
          <w:spacing w:val="7"/>
        </w:rPr>
        <w:t>行，有</w:t>
      </w:r>
      <w:r>
        <w:rPr>
          <w:spacing w:val="5"/>
        </w:rPr>
        <w:t>效</w:t>
      </w:r>
      <w:r>
        <w:rPr/>
        <w:t>期</w:t>
      </w:r>
    </w:p>
    <w:p>
      <w:pPr>
        <w:pStyle w:val="BodyText"/>
        <w:spacing w:before="111"/>
        <w:ind w:left="221"/>
      </w:pPr>
      <w:r>
        <w:rPr>
          <w:spacing w:val="-41"/>
        </w:rPr>
        <w:t>至 </w:t>
      </w:r>
      <w:r>
        <w:rPr/>
        <w:t>2020</w:t>
      </w:r>
      <w:r>
        <w:rPr>
          <w:spacing w:val="-54"/>
        </w:rPr>
        <w:t> 年 </w:t>
      </w:r>
      <w:r>
        <w:rPr/>
        <w:t>6</w:t>
      </w:r>
      <w:r>
        <w:rPr>
          <w:spacing w:val="-53"/>
        </w:rPr>
        <w:t> 月 </w:t>
      </w:r>
      <w:r>
        <w:rPr/>
        <w:t>30</w:t>
      </w:r>
      <w:r>
        <w:rPr>
          <w:spacing w:val="-28"/>
        </w:rPr>
        <w:t>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pict>
          <v:line style="position:absolute;mso-position-horizontal-relative:page;mso-position-vertical-relative:paragraph;z-index:-251650048;mso-wrap-distance-left:0;mso-wrap-distance-right:0" from="85.050003pt,14.078125pt" to="526.050003pt,14.078125pt" stroked="true" strokeweight=".75pt" strokecolor="#000000">
            <v:stroke dashstyle="solid"/>
            <w10:wrap type="topAndBottom"/>
          </v:line>
        </w:pict>
      </w:r>
    </w:p>
    <w:p>
      <w:pPr>
        <w:pStyle w:val="BodyText"/>
        <w:tabs>
          <w:tab w:pos="5340" w:val="left" w:leader="none"/>
        </w:tabs>
        <w:spacing w:before="79" w:after="53"/>
        <w:ind w:left="221"/>
      </w:pPr>
      <w:r>
        <w:rPr/>
        <w:t>郯城县人民政府</w:t>
        <w:tab/>
        <w:t>2018</w:t>
      </w:r>
      <w:r>
        <w:rPr>
          <w:spacing w:val="-81"/>
        </w:rPr>
        <w:t> </w:t>
      </w:r>
      <w:r>
        <w:rPr/>
        <w:t>年</w:t>
      </w:r>
      <w:r>
        <w:rPr>
          <w:spacing w:val="-79"/>
        </w:rPr>
        <w:t> </w:t>
      </w:r>
      <w:r>
        <w:rPr/>
        <w:t>6</w:t>
      </w:r>
      <w:r>
        <w:rPr>
          <w:spacing w:val="-83"/>
        </w:rPr>
        <w:t> </w:t>
      </w:r>
      <w:r>
        <w:rPr/>
        <w:t>月 20</w:t>
      </w:r>
      <w:r>
        <w:rPr>
          <w:spacing w:val="-79"/>
        </w:rPr>
        <w:t> </w:t>
      </w:r>
      <w:r>
        <w:rPr/>
        <w:t>日印发</w:t>
      </w:r>
    </w:p>
    <w:p>
      <w:pPr>
        <w:pStyle w:val="BodyText"/>
        <w:spacing w:line="20" w:lineRule="exact"/>
        <w:ind w:left="213"/>
        <w:rPr>
          <w:sz w:val="2"/>
        </w:rPr>
      </w:pPr>
      <w:r>
        <w:rPr>
          <w:sz w:val="2"/>
        </w:rPr>
        <w:pict>
          <v:group style="width:441pt;height:.75pt;mso-position-horizontal-relative:char;mso-position-vertical-relative:line" coordorigin="0,0" coordsize="8820,15">
            <v:line style="position:absolute" from="0,8" to="8820,8" stroked="true" strokeweight=".75pt" strokecolor="#000000">
              <v:stroke dashstyle="solid"/>
            </v:line>
          </v:group>
        </w:pict>
      </w:r>
      <w:r>
        <w:rPr>
          <w:sz w:val="2"/>
        </w:rPr>
      </w:r>
    </w:p>
    <w:p>
      <w:pPr>
        <w:pStyle w:val="BodyText"/>
        <w:spacing w:before="6"/>
        <w:rPr>
          <w:sz w:val="41"/>
        </w:rPr>
      </w:pPr>
    </w:p>
    <w:p>
      <w:pPr>
        <w:pStyle w:val="BodyText"/>
        <w:ind w:left="221"/>
        <w:rPr>
          <w:rFonts w:ascii="黑体"/>
        </w:rPr>
      </w:pPr>
      <w:r>
        <w:rPr>
          <w:rFonts w:ascii="黑体"/>
        </w:rPr>
        <w:t>TCDR-2018-002001</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
        <w:rPr>
          <w:rFonts w:ascii="黑体"/>
          <w:sz w:val="28"/>
        </w:rPr>
      </w:pPr>
    </w:p>
    <w:p>
      <w:pPr>
        <w:pStyle w:val="Heading1"/>
      </w:pPr>
      <w:bookmarkStart w:name="_TOC_250000" w:id="1"/>
      <w:bookmarkEnd w:id="1"/>
      <w:r>
        <w:rPr>
          <w:color w:val="FF0000"/>
          <w:w w:val="55"/>
        </w:rPr>
        <w:t>郯城县人民政府办公室文件</w:t>
      </w:r>
    </w:p>
    <w:p>
      <w:pPr>
        <w:pStyle w:val="BodyText"/>
        <w:rPr>
          <w:rFonts w:ascii="PMingLiU"/>
          <w:sz w:val="20"/>
        </w:rPr>
      </w:pPr>
    </w:p>
    <w:p>
      <w:pPr>
        <w:pStyle w:val="BodyText"/>
        <w:rPr>
          <w:rFonts w:ascii="PMingLiU"/>
          <w:sz w:val="20"/>
        </w:rPr>
      </w:pPr>
    </w:p>
    <w:p>
      <w:pPr>
        <w:pStyle w:val="BodyText"/>
        <w:rPr>
          <w:rFonts w:ascii="PMingLiU"/>
          <w:sz w:val="20"/>
        </w:rPr>
      </w:pPr>
    </w:p>
    <w:p>
      <w:pPr>
        <w:pStyle w:val="BodyText"/>
        <w:rPr>
          <w:rFonts w:ascii="PMingLiU"/>
          <w:sz w:val="20"/>
        </w:rPr>
      </w:pPr>
    </w:p>
    <w:p>
      <w:pPr>
        <w:pStyle w:val="BodyText"/>
        <w:spacing w:before="6"/>
        <w:rPr>
          <w:rFonts w:ascii="PMingLiU"/>
          <w:sz w:val="25"/>
        </w:rPr>
      </w:pPr>
    </w:p>
    <w:p>
      <w:pPr>
        <w:pStyle w:val="BodyText"/>
        <w:spacing w:before="41"/>
        <w:ind w:left="631" w:right="808"/>
        <w:jc w:val="center"/>
      </w:pPr>
      <w:r>
        <w:rPr/>
        <w:pict>
          <v:line style="position:absolute;mso-position-horizontal-relative:page;mso-position-vertical-relative:paragraph;z-index:251668480" from="85.050003pt,-.280002pt" to="535.050003pt,-.280002pt" stroked="true" strokeweight="1.5pt" strokecolor="#ff0000">
            <v:stroke dashstyle="solid"/>
            <w10:wrap type="none"/>
          </v:line>
        </w:pict>
      </w:r>
      <w:r>
        <w:rPr/>
        <w:t>郯政办发〔2018〕11 号</w:t>
      </w:r>
    </w:p>
    <w:p>
      <w:pPr>
        <w:spacing w:after="0"/>
        <w:jc w:val="center"/>
        <w:sectPr>
          <w:pgSz w:w="11910" w:h="16840"/>
          <w:pgMar w:header="0" w:footer="1294" w:top="1580" w:bottom="1480" w:left="1480" w:right="1300"/>
        </w:sectPr>
      </w:pPr>
    </w:p>
    <w:p>
      <w:pPr>
        <w:pStyle w:val="BodyText"/>
        <w:rPr>
          <w:sz w:val="20"/>
        </w:rPr>
      </w:pPr>
    </w:p>
    <w:p>
      <w:pPr>
        <w:pStyle w:val="BodyText"/>
        <w:rPr>
          <w:sz w:val="20"/>
        </w:rPr>
      </w:pPr>
    </w:p>
    <w:p>
      <w:pPr>
        <w:pStyle w:val="BodyText"/>
        <w:spacing w:before="8"/>
        <w:rPr>
          <w:sz w:val="22"/>
        </w:rPr>
      </w:pPr>
    </w:p>
    <w:p>
      <w:pPr>
        <w:pStyle w:val="Heading2"/>
        <w:spacing w:line="641" w:lineRule="exact"/>
        <w:ind w:right="808"/>
      </w:pPr>
      <w:r>
        <w:rPr/>
        <w:t>郯城县人民政府办公室</w:t>
      </w:r>
    </w:p>
    <w:p>
      <w:pPr>
        <w:spacing w:line="172" w:lineRule="auto" w:before="37"/>
        <w:ind w:left="293" w:right="471" w:firstLine="0"/>
        <w:jc w:val="center"/>
        <w:rPr>
          <w:rFonts w:ascii="方正小标宋简体" w:hAnsi="方正小标宋简体" w:eastAsia="方正小标宋简体" w:hint="eastAsia"/>
          <w:sz w:val="44"/>
        </w:rPr>
      </w:pPr>
      <w:r>
        <w:rPr>
          <w:rFonts w:ascii="方正小标宋简体" w:hAnsi="方正小标宋简体" w:eastAsia="方正小标宋简体" w:hint="eastAsia"/>
          <w:sz w:val="44"/>
        </w:rPr>
        <w:t>关于印发“郯城和谐使者”选拔管理暂行办法</w:t>
      </w:r>
    </w:p>
    <w:p>
      <w:pPr>
        <w:spacing w:line="631" w:lineRule="exact" w:before="0"/>
        <w:ind w:left="631" w:right="811" w:firstLine="0"/>
        <w:jc w:val="center"/>
        <w:rPr>
          <w:rFonts w:ascii="方正小标宋简体" w:eastAsia="方正小标宋简体" w:hint="eastAsia"/>
          <w:sz w:val="44"/>
        </w:rPr>
      </w:pPr>
      <w:r>
        <w:rPr>
          <w:rFonts w:ascii="方正小标宋简体" w:eastAsia="方正小标宋简体" w:hint="eastAsia"/>
          <w:sz w:val="44"/>
        </w:rPr>
        <w:t>的通知</w:t>
      </w:r>
    </w:p>
    <w:p>
      <w:pPr>
        <w:pStyle w:val="BodyText"/>
        <w:spacing w:before="14"/>
        <w:rPr>
          <w:rFonts w:ascii="方正小标宋简体"/>
          <w:sz w:val="31"/>
        </w:rPr>
      </w:pPr>
    </w:p>
    <w:p>
      <w:pPr>
        <w:pStyle w:val="BodyText"/>
        <w:spacing w:line="312" w:lineRule="auto"/>
        <w:ind w:left="221" w:right="242"/>
        <w:jc w:val="both"/>
      </w:pPr>
      <w:r>
        <w:rPr/>
        <w:t>各乡镇人民政府、郯城街道办事处，县直各部门、单位，省、</w:t>
      </w:r>
      <w:r>
        <w:rPr>
          <w:spacing w:val="-19"/>
          <w:w w:val="95"/>
        </w:rPr>
        <w:t>市直驻郯各单位，科级以上事业单位，郯城经济开发区管委会， </w:t>
      </w:r>
      <w:r>
        <w:rPr>
          <w:spacing w:val="-19"/>
        </w:rPr>
        <w:t>马陵山景区管委会，新村银杏产业开发区管委会：</w:t>
      </w:r>
    </w:p>
    <w:p>
      <w:pPr>
        <w:pStyle w:val="BodyText"/>
        <w:spacing w:line="309" w:lineRule="auto"/>
        <w:ind w:left="221" w:right="242" w:firstLine="638"/>
      </w:pPr>
      <w:r>
        <w:rPr>
          <w:spacing w:val="-19"/>
        </w:rPr>
        <w:t>现将《“郯城和谐使者”选拔管理暂行办法》印发给你们， </w:t>
      </w:r>
      <w:r>
        <w:rPr/>
        <w:t>请认真遵照执行。</w:t>
      </w:r>
    </w:p>
    <w:p>
      <w:pPr>
        <w:pStyle w:val="BodyText"/>
        <w:spacing w:before="7"/>
        <w:rPr>
          <w:sz w:val="41"/>
        </w:rPr>
      </w:pPr>
    </w:p>
    <w:p>
      <w:pPr>
        <w:pStyle w:val="BodyText"/>
        <w:spacing w:line="309" w:lineRule="auto"/>
        <w:ind w:left="5117" w:right="1371" w:hanging="564"/>
      </w:pPr>
      <w:r>
        <w:rPr>
          <w:spacing w:val="-2"/>
        </w:rPr>
        <w:t>郯城县人民政府办公室</w:t>
      </w:r>
      <w:r>
        <w:rPr/>
        <w:t>2018</w:t>
      </w:r>
      <w:r>
        <w:rPr>
          <w:spacing w:val="-54"/>
        </w:rPr>
        <w:t> 年 </w:t>
      </w:r>
      <w:r>
        <w:rPr/>
        <w:t>4</w:t>
      </w:r>
      <w:r>
        <w:rPr>
          <w:spacing w:val="-54"/>
        </w:rPr>
        <w:t> 月 </w:t>
      </w:r>
      <w:r>
        <w:rPr/>
        <w:t>28</w:t>
      </w:r>
      <w:r>
        <w:rPr>
          <w:spacing w:val="-41"/>
        </w:rPr>
        <w:t> 日</w:t>
      </w:r>
    </w:p>
    <w:p>
      <w:pPr>
        <w:pStyle w:val="BodyText"/>
        <w:spacing w:before="7"/>
        <w:rPr>
          <w:sz w:val="24"/>
        </w:rPr>
      </w:pPr>
    </w:p>
    <w:p>
      <w:pPr>
        <w:pStyle w:val="Heading2"/>
        <w:spacing w:before="1"/>
      </w:pPr>
      <w:r>
        <w:rPr/>
        <w:t>“郯城和谐使者”选拔管理暂行办法</w:t>
      </w:r>
    </w:p>
    <w:p>
      <w:pPr>
        <w:pStyle w:val="BodyText"/>
        <w:rPr>
          <w:rFonts w:ascii="方正小标宋简体"/>
          <w:sz w:val="31"/>
        </w:rPr>
      </w:pPr>
    </w:p>
    <w:p>
      <w:pPr>
        <w:pStyle w:val="BodyText"/>
        <w:tabs>
          <w:tab w:pos="1279" w:val="left" w:leader="none"/>
          <w:tab w:pos="1919" w:val="left" w:leader="none"/>
        </w:tabs>
        <w:ind w:right="177"/>
        <w:jc w:val="center"/>
        <w:rPr>
          <w:rFonts w:ascii="黑体" w:eastAsia="黑体" w:hint="eastAsia"/>
        </w:rPr>
      </w:pPr>
      <w:r>
        <w:rPr>
          <w:rFonts w:ascii="黑体" w:eastAsia="黑体" w:hint="eastAsia"/>
        </w:rPr>
        <w:t>第一章</w:t>
        <w:tab/>
        <w:t>总</w:t>
        <w:tab/>
        <w:t>则</w:t>
      </w:r>
    </w:p>
    <w:p>
      <w:pPr>
        <w:pStyle w:val="BodyText"/>
        <w:rPr>
          <w:rFonts w:ascii="黑体"/>
        </w:rPr>
      </w:pPr>
    </w:p>
    <w:p>
      <w:pPr>
        <w:pStyle w:val="BodyText"/>
        <w:spacing w:before="6"/>
        <w:rPr>
          <w:rFonts w:ascii="黑体"/>
          <w:sz w:val="26"/>
        </w:rPr>
      </w:pPr>
    </w:p>
    <w:p>
      <w:pPr>
        <w:pStyle w:val="BodyText"/>
        <w:spacing w:line="312" w:lineRule="auto"/>
        <w:ind w:left="221" w:right="399" w:firstLine="628"/>
        <w:jc w:val="both"/>
      </w:pPr>
      <w:r>
        <w:rPr>
          <w:rFonts w:ascii="黑体" w:eastAsia="黑体" w:hint="eastAsia"/>
          <w:spacing w:val="37"/>
        </w:rPr>
        <w:t>第一条 </w:t>
      </w:r>
      <w:r>
        <w:rPr>
          <w:spacing w:val="-9"/>
        </w:rPr>
        <w:t>为贯彻落实科学人才观，实施人才强县战略，加</w:t>
      </w:r>
      <w:r>
        <w:rPr>
          <w:spacing w:val="-16"/>
          <w:w w:val="95"/>
        </w:rPr>
        <w:t>快推进我县社会工作专业人才队伍建设，提高社会工作的认知 度和影响力，创造社会工作专业人才成长的良好环境，更好地 </w:t>
      </w:r>
      <w:r>
        <w:rPr>
          <w:spacing w:val="-18"/>
          <w:w w:val="95"/>
        </w:rPr>
        <w:t>服务全县经济社会发展，根据县委、县政府关于加强社会工作</w:t>
      </w:r>
    </w:p>
    <w:p>
      <w:pPr>
        <w:spacing w:after="0" w:line="312" w:lineRule="auto"/>
        <w:jc w:val="both"/>
        <w:sectPr>
          <w:pgSz w:w="11910" w:h="16840"/>
          <w:pgMar w:header="0" w:footer="1294" w:top="1580" w:bottom="1480" w:left="1480" w:right="1300"/>
        </w:sectPr>
      </w:pPr>
    </w:p>
    <w:p>
      <w:pPr>
        <w:pStyle w:val="BodyText"/>
        <w:spacing w:before="137"/>
        <w:ind w:left="221"/>
      </w:pPr>
      <w:r>
        <w:rPr/>
        <w:t>专业人才队伍建设的要求，制定本办法。</w:t>
      </w:r>
    </w:p>
    <w:p>
      <w:pPr>
        <w:pStyle w:val="BodyText"/>
        <w:spacing w:line="309" w:lineRule="auto" w:before="133"/>
        <w:ind w:left="221" w:right="399" w:firstLine="628"/>
        <w:jc w:val="both"/>
      </w:pPr>
      <w:r>
        <w:rPr>
          <w:rFonts w:ascii="黑体" w:hAnsi="黑体" w:eastAsia="黑体" w:hint="eastAsia"/>
          <w:spacing w:val="37"/>
        </w:rPr>
        <w:t>第二条 </w:t>
      </w:r>
      <w:r>
        <w:rPr>
          <w:spacing w:val="-12"/>
        </w:rPr>
        <w:t>本办法所称“郯城和谐使者”，是指为郯城县社</w:t>
      </w:r>
      <w:r>
        <w:rPr>
          <w:spacing w:val="-17"/>
          <w:w w:val="95"/>
        </w:rPr>
        <w:t>会工作发展作出突出贡献，具备专业社会工作知识和能力，具 有良好职业道德、丰富实践经验，贡献突出的专门从事社会服 </w:t>
      </w:r>
      <w:r>
        <w:rPr>
          <w:spacing w:val="-17"/>
        </w:rPr>
        <w:t>务工作人员。</w:t>
      </w:r>
    </w:p>
    <w:p>
      <w:pPr>
        <w:pStyle w:val="BodyText"/>
        <w:tabs>
          <w:tab w:pos="2127" w:val="left" w:leader="none"/>
        </w:tabs>
        <w:spacing w:line="309" w:lineRule="auto" w:before="12"/>
        <w:ind w:left="221" w:right="278" w:firstLine="626"/>
      </w:pPr>
      <w:r>
        <w:rPr>
          <w:rFonts w:ascii="黑体" w:hAnsi="黑体" w:eastAsia="黑体" w:hint="eastAsia"/>
        </w:rPr>
        <w:t>第三条</w:t>
        <w:tab/>
      </w:r>
      <w:r>
        <w:rPr/>
        <w:t>“郯城和谐使者”选拔坚持公开、平等、竞争</w:t>
      </w:r>
      <w:r>
        <w:rPr>
          <w:spacing w:val="-13"/>
        </w:rPr>
        <w:t>、</w:t>
      </w:r>
      <w:r>
        <w:rPr/>
        <w:t>择优的原则</w:t>
      </w:r>
      <w:r>
        <w:rPr>
          <w:spacing w:val="-67"/>
        </w:rPr>
        <w:t>，</w:t>
      </w:r>
      <w:r>
        <w:rPr/>
        <w:t>重点从基层一线的城乡社区</w:t>
      </w:r>
      <w:r>
        <w:rPr>
          <w:spacing w:val="-67"/>
        </w:rPr>
        <w:t>、</w:t>
      </w:r>
      <w:r>
        <w:rPr/>
        <w:t>社会服务类事业单位和社会组织中选拔产生。</w:t>
      </w:r>
    </w:p>
    <w:p>
      <w:pPr>
        <w:pStyle w:val="BodyText"/>
        <w:tabs>
          <w:tab w:pos="2067" w:val="left" w:leader="none"/>
        </w:tabs>
        <w:spacing w:line="309" w:lineRule="auto" w:before="8"/>
        <w:ind w:left="221" w:right="266" w:firstLine="626"/>
      </w:pPr>
      <w:r>
        <w:rPr>
          <w:rFonts w:ascii="黑体" w:hAnsi="黑体" w:eastAsia="黑体" w:hint="eastAsia"/>
        </w:rPr>
        <w:t>第四条</w:t>
        <w:tab/>
      </w:r>
      <w:r>
        <w:rPr/>
        <w:t>“郯城和谐使者</w:t>
      </w:r>
      <w:r>
        <w:rPr>
          <w:spacing w:val="-60"/>
        </w:rPr>
        <w:t>”</w:t>
      </w:r>
      <w:r>
        <w:rPr/>
        <w:t>选拔管理工作由县人才工作领导小组统一领导</w:t>
      </w:r>
      <w:r>
        <w:rPr>
          <w:spacing w:val="-34"/>
        </w:rPr>
        <w:t>。</w:t>
      </w:r>
      <w:r>
        <w:rPr/>
        <w:t>县委组织部</w:t>
      </w:r>
      <w:r>
        <w:rPr>
          <w:spacing w:val="-34"/>
        </w:rPr>
        <w:t>、</w:t>
      </w:r>
      <w:r>
        <w:rPr/>
        <w:t>县委政法委</w:t>
      </w:r>
      <w:r>
        <w:rPr>
          <w:spacing w:val="-34"/>
        </w:rPr>
        <w:t>、</w:t>
      </w:r>
      <w:r>
        <w:rPr/>
        <w:t>县编办</w:t>
      </w:r>
      <w:r>
        <w:rPr>
          <w:spacing w:val="-34"/>
        </w:rPr>
        <w:t>、</w:t>
      </w:r>
      <w:r>
        <w:rPr/>
        <w:t>县信访局</w:t>
      </w:r>
      <w:r>
        <w:rPr>
          <w:spacing w:val="-22"/>
        </w:rPr>
        <w:t>、</w:t>
      </w:r>
      <w:r>
        <w:rPr/>
        <w:t>县总工会</w:t>
      </w:r>
      <w:r>
        <w:rPr>
          <w:spacing w:val="-22"/>
        </w:rPr>
        <w:t>、</w:t>
      </w:r>
      <w:r>
        <w:rPr/>
        <w:t>团县委</w:t>
      </w:r>
      <w:r>
        <w:rPr>
          <w:spacing w:val="-22"/>
        </w:rPr>
        <w:t>、</w:t>
      </w:r>
      <w:r>
        <w:rPr/>
        <w:t>县妇联</w:t>
      </w:r>
      <w:r>
        <w:rPr>
          <w:spacing w:val="-22"/>
        </w:rPr>
        <w:t>、</w:t>
      </w:r>
      <w:r>
        <w:rPr/>
        <w:t>县残联</w:t>
      </w:r>
      <w:r>
        <w:rPr>
          <w:spacing w:val="-22"/>
        </w:rPr>
        <w:t>、</w:t>
      </w:r>
      <w:r>
        <w:rPr/>
        <w:t>县发改局</w:t>
      </w:r>
      <w:r>
        <w:rPr>
          <w:spacing w:val="-24"/>
        </w:rPr>
        <w:t>、</w:t>
      </w:r>
      <w:r>
        <w:rPr/>
        <w:t>县教体局、县公安局、县民政局、县司法局、县财政局、县人社局</w:t>
      </w:r>
      <w:r>
        <w:rPr>
          <w:spacing w:val="-11"/>
        </w:rPr>
        <w:t>、</w:t>
      </w:r>
      <w:r>
        <w:rPr/>
        <w:t>县文广新局</w:t>
      </w:r>
      <w:r>
        <w:rPr>
          <w:spacing w:val="-31"/>
        </w:rPr>
        <w:t>、</w:t>
      </w:r>
      <w:r>
        <w:rPr/>
        <w:t>县卫计局</w:t>
      </w:r>
      <w:r>
        <w:rPr>
          <w:spacing w:val="-34"/>
        </w:rPr>
        <w:t>、</w:t>
      </w:r>
      <w:r>
        <w:rPr/>
        <w:t>县扶贫办等部门</w:t>
      </w:r>
      <w:r>
        <w:rPr>
          <w:spacing w:val="-31"/>
        </w:rPr>
        <w:t>、</w:t>
      </w:r>
      <w:r>
        <w:rPr/>
        <w:t>单位组</w:t>
      </w:r>
      <w:r>
        <w:rPr>
          <w:spacing w:val="-34"/>
        </w:rPr>
        <w:t>成</w:t>
      </w:r>
      <w:r>
        <w:rPr/>
        <w:t>“郯城和谐使者”选拔管理工作办公室，县民政局具体负责该项工作</w:t>
      </w:r>
      <w:r>
        <w:rPr>
          <w:spacing w:val="-11"/>
        </w:rPr>
        <w:t>。</w:t>
      </w:r>
    </w:p>
    <w:p>
      <w:pPr>
        <w:pStyle w:val="BodyText"/>
        <w:tabs>
          <w:tab w:pos="1279" w:val="left" w:leader="none"/>
        </w:tabs>
        <w:spacing w:before="33"/>
        <w:ind w:right="180"/>
        <w:jc w:val="center"/>
        <w:rPr>
          <w:rFonts w:ascii="黑体" w:eastAsia="黑体" w:hint="eastAsia"/>
        </w:rPr>
      </w:pPr>
      <w:r>
        <w:rPr>
          <w:rFonts w:ascii="黑体" w:eastAsia="黑体" w:hint="eastAsia"/>
        </w:rPr>
        <w:t>第二章</w:t>
        <w:tab/>
        <w:t>选拔范围和条件</w:t>
      </w:r>
    </w:p>
    <w:p>
      <w:pPr>
        <w:pStyle w:val="BodyText"/>
        <w:rPr>
          <w:rFonts w:ascii="黑体"/>
        </w:rPr>
      </w:pPr>
    </w:p>
    <w:p>
      <w:pPr>
        <w:pStyle w:val="BodyText"/>
        <w:spacing w:before="2"/>
        <w:rPr>
          <w:rFonts w:ascii="黑体"/>
          <w:sz w:val="25"/>
        </w:rPr>
      </w:pPr>
    </w:p>
    <w:p>
      <w:pPr>
        <w:pStyle w:val="BodyText"/>
        <w:tabs>
          <w:tab w:pos="2127" w:val="left" w:leader="none"/>
        </w:tabs>
        <w:spacing w:line="309" w:lineRule="auto"/>
        <w:ind w:left="221" w:right="278" w:firstLine="626"/>
      </w:pPr>
      <w:r>
        <w:rPr>
          <w:rFonts w:ascii="黑体" w:hAnsi="黑体" w:eastAsia="黑体" w:hint="eastAsia"/>
        </w:rPr>
        <w:t>第五条</w:t>
        <w:tab/>
      </w:r>
      <w:r>
        <w:rPr/>
        <w:t>“郯城和谐使者”从以下在社会工作一线岗位</w:t>
      </w:r>
      <w:r>
        <w:rPr>
          <w:spacing w:val="-13"/>
        </w:rPr>
        <w:t>、</w:t>
      </w:r>
      <w:r>
        <w:rPr/>
        <w:t>直接从事社会专业服务工作的人员中选拔：</w:t>
      </w:r>
    </w:p>
    <w:p>
      <w:pPr>
        <w:pStyle w:val="BodyText"/>
        <w:spacing w:line="312" w:lineRule="auto" w:before="5"/>
        <w:ind w:left="221" w:right="236" w:firstLine="626"/>
      </w:pPr>
      <w:r>
        <w:rPr>
          <w:spacing w:val="-9"/>
        </w:rPr>
        <w:t>我县在社会福利、社会救助、慈善事业、社区建设、婚姻</w:t>
      </w:r>
      <w:r>
        <w:rPr>
          <w:spacing w:val="-20"/>
          <w:w w:val="95"/>
        </w:rPr>
        <w:t>家庭、精神卫生、残障康复、教育辅导、就业援助、职工帮扶、 </w:t>
      </w:r>
      <w:r>
        <w:rPr>
          <w:spacing w:val="-16"/>
        </w:rPr>
        <w:t>犯罪预防、禁毒戒毒、矫治帮教、人口计生、纠纷调解、应急处置、青少年事务等领域，综合运用专业知识、技能和方法， </w:t>
      </w:r>
      <w:r>
        <w:rPr>
          <w:spacing w:val="-23"/>
        </w:rPr>
        <w:t>帮助有需要的个人、家庭、群体、组织和社区，协调社会关系，</w:t>
      </w:r>
    </w:p>
    <w:p>
      <w:pPr>
        <w:spacing w:after="0" w:line="312" w:lineRule="auto"/>
        <w:sectPr>
          <w:pgSz w:w="11910" w:h="16840"/>
          <w:pgMar w:header="0" w:footer="1294" w:top="1580" w:bottom="1480" w:left="1480" w:right="1300"/>
        </w:sectPr>
      </w:pPr>
    </w:p>
    <w:p>
      <w:pPr>
        <w:pStyle w:val="BodyText"/>
        <w:spacing w:line="309" w:lineRule="auto" w:before="137"/>
        <w:ind w:left="221" w:right="266"/>
      </w:pPr>
      <w:r>
        <w:rPr/>
        <w:t>预防和解决社会问题，恢复和发展社会功能，推动社会发展， 促进社会和谐的社会工作者。</w:t>
      </w:r>
    </w:p>
    <w:p>
      <w:pPr>
        <w:pStyle w:val="BodyText"/>
        <w:spacing w:before="7"/>
        <w:ind w:left="848"/>
        <w:jc w:val="both"/>
      </w:pPr>
      <w:r>
        <w:rPr>
          <w:rFonts w:ascii="黑体" w:hAnsi="黑体" w:eastAsia="黑体" w:hint="eastAsia"/>
        </w:rPr>
        <w:t>第六条 </w:t>
      </w:r>
      <w:r>
        <w:rPr/>
        <w:t>“郯城和谐使者”的选拔条件：</w:t>
      </w:r>
    </w:p>
    <w:p>
      <w:pPr>
        <w:pStyle w:val="BodyText"/>
        <w:spacing w:line="312" w:lineRule="auto" w:before="131"/>
        <w:ind w:left="221" w:right="399" w:firstLine="626"/>
        <w:jc w:val="both"/>
      </w:pPr>
      <w:r>
        <w:rPr>
          <w:w w:val="95"/>
        </w:rPr>
        <w:t>（一</w:t>
      </w:r>
      <w:r>
        <w:rPr>
          <w:spacing w:val="-31"/>
          <w:w w:val="95"/>
        </w:rPr>
        <w:t>）</w:t>
      </w:r>
      <w:r>
        <w:rPr>
          <w:spacing w:val="-9"/>
          <w:w w:val="95"/>
        </w:rPr>
        <w:t>热爱祖国，拥护党的路线方针政策，遵纪守法；热 </w:t>
      </w:r>
      <w:r>
        <w:rPr>
          <w:spacing w:val="-15"/>
          <w:w w:val="95"/>
        </w:rPr>
        <w:t>心公益事业，热衷服务社会，群众公认度高，具有良好的职业 </w:t>
      </w:r>
      <w:r>
        <w:rPr>
          <w:spacing w:val="-15"/>
        </w:rPr>
        <w:t>道德和社会公德。</w:t>
      </w:r>
    </w:p>
    <w:p>
      <w:pPr>
        <w:pStyle w:val="BodyText"/>
        <w:spacing w:line="309" w:lineRule="auto"/>
        <w:ind w:left="221" w:right="399" w:firstLine="626"/>
      </w:pPr>
      <w:r>
        <w:rPr>
          <w:w w:val="95"/>
        </w:rPr>
        <w:t>（二</w:t>
      </w:r>
      <w:r>
        <w:rPr>
          <w:spacing w:val="-41"/>
          <w:w w:val="95"/>
        </w:rPr>
        <w:t>）</w:t>
      </w:r>
      <w:r>
        <w:rPr>
          <w:spacing w:val="-5"/>
          <w:w w:val="95"/>
        </w:rPr>
        <w:t>能够熟练运用社会工作业务相关的法律、法规、政 </w:t>
      </w:r>
      <w:r>
        <w:rPr>
          <w:spacing w:val="-5"/>
        </w:rPr>
        <w:t>策和行业管理规定，具备丰富的社会工作专业经验。</w:t>
      </w:r>
    </w:p>
    <w:p>
      <w:pPr>
        <w:pStyle w:val="BodyText"/>
        <w:spacing w:line="312" w:lineRule="auto"/>
        <w:ind w:left="221" w:right="399" w:firstLine="626"/>
        <w:jc w:val="both"/>
      </w:pPr>
      <w:r>
        <w:rPr/>
        <w:t>（三</w:t>
      </w:r>
      <w:r>
        <w:rPr>
          <w:spacing w:val="-63"/>
        </w:rPr>
        <w:t>）</w:t>
      </w:r>
      <w:r>
        <w:rPr>
          <w:spacing w:val="-4"/>
        </w:rPr>
        <w:t>能够综合运用各种社会工作方法，为服务对象提供</w:t>
      </w:r>
      <w:r>
        <w:rPr>
          <w:spacing w:val="-14"/>
          <w:w w:val="95"/>
        </w:rPr>
        <w:t>专业服务，处理各类复杂问题，为所在单位和社会做出重要贡 </w:t>
      </w:r>
      <w:r>
        <w:rPr>
          <w:spacing w:val="-14"/>
        </w:rPr>
        <w:t>献。</w:t>
      </w:r>
    </w:p>
    <w:p>
      <w:pPr>
        <w:pStyle w:val="BodyText"/>
        <w:spacing w:line="312" w:lineRule="auto"/>
        <w:ind w:left="221" w:right="399" w:firstLine="626"/>
      </w:pPr>
      <w:r>
        <w:rPr>
          <w:w w:val="95"/>
        </w:rPr>
        <w:t>（四</w:t>
      </w:r>
      <w:r>
        <w:rPr>
          <w:spacing w:val="-41"/>
          <w:w w:val="95"/>
        </w:rPr>
        <w:t>）</w:t>
      </w:r>
      <w:r>
        <w:rPr>
          <w:spacing w:val="-5"/>
          <w:w w:val="95"/>
        </w:rPr>
        <w:t>在社会工作领域享有较高声誉，社会关注度高，有 </w:t>
      </w:r>
      <w:r>
        <w:rPr>
          <w:spacing w:val="-5"/>
        </w:rPr>
        <w:t>较大的社会影响力，具有示范带动作用。</w:t>
      </w:r>
    </w:p>
    <w:p>
      <w:pPr>
        <w:pStyle w:val="BodyText"/>
        <w:spacing w:line="443" w:lineRule="exact"/>
        <w:ind w:left="848"/>
      </w:pPr>
      <w:r>
        <w:rPr/>
        <w:t>（五）从事社会工作 2 年以上。</w:t>
      </w:r>
    </w:p>
    <w:p>
      <w:pPr>
        <w:pStyle w:val="BodyText"/>
        <w:spacing w:line="312" w:lineRule="auto" w:before="127"/>
        <w:ind w:left="221" w:right="278" w:firstLine="626"/>
      </w:pPr>
      <w:r>
        <w:rPr/>
        <w:t>（六）</w:t>
      </w:r>
      <w:r>
        <w:rPr>
          <w:spacing w:val="-1"/>
        </w:rPr>
        <w:t>管理期内的“齐鲁和谐使者”和“沂蒙和谐使者” </w:t>
      </w:r>
      <w:r>
        <w:rPr>
          <w:spacing w:val="-13"/>
        </w:rPr>
        <w:t>不再参加“郯城和谐使者”的选拔。从我县产生的“沂蒙和谐</w:t>
      </w:r>
      <w:r>
        <w:rPr>
          <w:spacing w:val="-8"/>
        </w:rPr>
        <w:t>使者”、 “齐鲁和谐使者”必须是“郯城和谐使者”。</w:t>
      </w:r>
    </w:p>
    <w:p>
      <w:pPr>
        <w:pStyle w:val="BodyText"/>
        <w:spacing w:line="312" w:lineRule="auto"/>
        <w:ind w:left="221" w:right="403" w:firstLine="626"/>
      </w:pPr>
      <w:r>
        <w:rPr>
          <w:spacing w:val="-12"/>
        </w:rPr>
        <w:t>上述人员，取得助理社会工作师及以上职业水平资格证书</w:t>
      </w:r>
      <w:r>
        <w:rPr/>
        <w:t>的，同等条件下优先评选。</w:t>
      </w:r>
    </w:p>
    <w:p>
      <w:pPr>
        <w:pStyle w:val="BodyText"/>
        <w:spacing w:before="3"/>
        <w:rPr>
          <w:sz w:val="42"/>
        </w:rPr>
      </w:pPr>
    </w:p>
    <w:p>
      <w:pPr>
        <w:pStyle w:val="BodyText"/>
        <w:tabs>
          <w:tab w:pos="1279" w:val="left" w:leader="none"/>
        </w:tabs>
        <w:spacing w:before="1"/>
        <w:ind w:right="180"/>
        <w:jc w:val="center"/>
        <w:rPr>
          <w:rFonts w:ascii="黑体" w:eastAsia="黑体" w:hint="eastAsia"/>
        </w:rPr>
      </w:pPr>
      <w:r>
        <w:rPr>
          <w:rFonts w:ascii="黑体" w:eastAsia="黑体" w:hint="eastAsia"/>
        </w:rPr>
        <w:t>第三章</w:t>
        <w:tab/>
        <w:t>选拔方法和程序</w:t>
      </w:r>
    </w:p>
    <w:p>
      <w:pPr>
        <w:pStyle w:val="BodyText"/>
        <w:rPr>
          <w:rFonts w:ascii="黑体"/>
        </w:rPr>
      </w:pPr>
    </w:p>
    <w:p>
      <w:pPr>
        <w:pStyle w:val="BodyText"/>
        <w:spacing w:before="1"/>
        <w:rPr>
          <w:rFonts w:ascii="黑体"/>
          <w:sz w:val="25"/>
        </w:rPr>
      </w:pPr>
    </w:p>
    <w:p>
      <w:pPr>
        <w:pStyle w:val="BodyText"/>
        <w:spacing w:before="1"/>
        <w:ind w:left="860"/>
        <w:jc w:val="both"/>
      </w:pPr>
      <w:r>
        <w:rPr>
          <w:rFonts w:ascii="黑体" w:hAnsi="黑体" w:eastAsia="黑体" w:hint="eastAsia"/>
        </w:rPr>
        <w:t>第七条 </w:t>
      </w:r>
      <w:r>
        <w:rPr/>
        <w:t>“郯城和谐使者”人选按照“自下而上、好中选</w:t>
      </w:r>
    </w:p>
    <w:p>
      <w:pPr>
        <w:spacing w:after="0"/>
        <w:jc w:val="both"/>
        <w:sectPr>
          <w:pgSz w:w="11910" w:h="16840"/>
          <w:pgMar w:header="0" w:footer="1294" w:top="1580" w:bottom="1480" w:left="1480" w:right="1300"/>
        </w:sectPr>
      </w:pPr>
    </w:p>
    <w:p>
      <w:pPr>
        <w:pStyle w:val="BodyText"/>
        <w:spacing w:line="312" w:lineRule="auto" w:before="137"/>
        <w:ind w:left="221" w:right="398"/>
        <w:jc w:val="both"/>
      </w:pPr>
      <w:r>
        <w:rPr>
          <w:spacing w:val="-9"/>
        </w:rPr>
        <w:t>优、逐级推荐”的原则，由各乡镇</w:t>
      </w:r>
      <w:r>
        <w:rPr/>
        <w:t>（</w:t>
      </w:r>
      <w:r>
        <w:rPr>
          <w:spacing w:val="-7"/>
        </w:rPr>
        <w:t>街道、开发区、景区</w:t>
      </w:r>
      <w:r>
        <w:rPr>
          <w:spacing w:val="-19"/>
        </w:rPr>
        <w:t>）</w:t>
      </w:r>
      <w:r>
        <w:rPr>
          <w:spacing w:val="-12"/>
        </w:rPr>
        <w:t>和</w:t>
      </w:r>
      <w:r>
        <w:rPr>
          <w:spacing w:val="-4"/>
        </w:rPr>
        <w:t>县直部门从本乡镇</w:t>
      </w:r>
      <w:r>
        <w:rPr/>
        <w:t>（</w:t>
      </w:r>
      <w:r>
        <w:rPr>
          <w:spacing w:val="-8"/>
        </w:rPr>
        <w:t>街道、开发区、景区</w:t>
      </w:r>
      <w:r>
        <w:rPr>
          <w:spacing w:val="-27"/>
        </w:rPr>
        <w:t>）</w:t>
      </w:r>
      <w:r>
        <w:rPr>
          <w:spacing w:val="-6"/>
        </w:rPr>
        <w:t>、本行业中优秀社会工作人才中推荐，经公示后上报。</w:t>
      </w:r>
    </w:p>
    <w:p>
      <w:pPr>
        <w:pStyle w:val="BodyText"/>
        <w:tabs>
          <w:tab w:pos="2131" w:val="left" w:leader="none"/>
        </w:tabs>
        <w:spacing w:line="442" w:lineRule="exact"/>
        <w:ind w:left="850"/>
      </w:pPr>
      <w:r>
        <w:rPr>
          <w:rFonts w:ascii="黑体" w:hAnsi="黑体" w:eastAsia="黑体" w:hint="eastAsia"/>
        </w:rPr>
        <w:t>第八条</w:t>
        <w:tab/>
      </w:r>
      <w:r>
        <w:rPr/>
        <w:t>推荐申报“郯城和谐使者”应呈报以下材料：</w:t>
      </w:r>
    </w:p>
    <w:p>
      <w:pPr>
        <w:pStyle w:val="BodyText"/>
        <w:spacing w:before="131"/>
        <w:ind w:left="850"/>
      </w:pPr>
      <w:r>
        <w:rPr/>
        <w:t>（一）《“郯城和谐使者”申报表》。</w:t>
      </w:r>
    </w:p>
    <w:p>
      <w:pPr>
        <w:pStyle w:val="BodyText"/>
        <w:spacing w:before="133"/>
        <w:ind w:left="850"/>
      </w:pPr>
      <w:r>
        <w:rPr/>
        <w:t>（二）2000 字左右的事迹材料。</w:t>
      </w:r>
    </w:p>
    <w:p>
      <w:pPr>
        <w:pStyle w:val="BodyText"/>
        <w:spacing w:before="134"/>
        <w:ind w:left="850"/>
      </w:pPr>
      <w:r>
        <w:rPr/>
        <w:t>（三</w:t>
      </w:r>
      <w:r>
        <w:rPr>
          <w:spacing w:val="-63"/>
        </w:rPr>
        <w:t>）</w:t>
      </w:r>
      <w:r>
        <w:rPr>
          <w:spacing w:val="-6"/>
        </w:rPr>
        <w:t>申报人职业水平资格证书、社会工作专业技术成果</w:t>
      </w:r>
    </w:p>
    <w:p>
      <w:pPr>
        <w:pStyle w:val="BodyText"/>
        <w:spacing w:before="130"/>
        <w:ind w:left="221"/>
      </w:pPr>
      <w:r>
        <w:rPr/>
        <w:t>（案例）、获奖情况等证明材料。</w:t>
      </w:r>
    </w:p>
    <w:p>
      <w:pPr>
        <w:pStyle w:val="BodyText"/>
        <w:spacing w:line="312" w:lineRule="auto" w:before="134"/>
        <w:ind w:left="221" w:right="397" w:firstLine="628"/>
      </w:pPr>
      <w:r>
        <w:rPr>
          <w:w w:val="95"/>
        </w:rPr>
        <w:t>（四</w:t>
      </w:r>
      <w:r>
        <w:rPr>
          <w:spacing w:val="-24"/>
          <w:w w:val="95"/>
        </w:rPr>
        <w:t>）</w:t>
      </w:r>
      <w:r>
        <w:rPr>
          <w:spacing w:val="-12"/>
          <w:w w:val="95"/>
        </w:rPr>
        <w:t>乡镇</w:t>
      </w:r>
      <w:r>
        <w:rPr>
          <w:w w:val="95"/>
        </w:rPr>
        <w:t>（</w:t>
      </w:r>
      <w:r>
        <w:rPr>
          <w:spacing w:val="-7"/>
          <w:w w:val="95"/>
        </w:rPr>
        <w:t>街道、开发区、景区</w:t>
      </w:r>
      <w:r>
        <w:rPr>
          <w:spacing w:val="-24"/>
          <w:w w:val="95"/>
        </w:rPr>
        <w:t>）</w:t>
      </w:r>
      <w:r>
        <w:rPr>
          <w:w w:val="95"/>
        </w:rPr>
        <w:t>和主管部门的推荐报 </w:t>
      </w:r>
      <w:r>
        <w:rPr/>
        <w:t>告。</w:t>
      </w:r>
    </w:p>
    <w:p>
      <w:pPr>
        <w:pStyle w:val="BodyText"/>
        <w:spacing w:line="312" w:lineRule="auto"/>
        <w:ind w:left="221" w:right="399" w:firstLine="628"/>
        <w:jc w:val="both"/>
      </w:pPr>
      <w:r>
        <w:rPr>
          <w:rFonts w:ascii="黑体" w:eastAsia="黑体" w:hint="eastAsia"/>
          <w:spacing w:val="4"/>
        </w:rPr>
        <w:t>第九条 </w:t>
      </w:r>
      <w:r>
        <w:rPr>
          <w:spacing w:val="6"/>
        </w:rPr>
        <w:t>县民政局会同有关部门对报送的人选进行初步</w:t>
      </w:r>
      <w:r>
        <w:rPr>
          <w:spacing w:val="-10"/>
          <w:w w:val="95"/>
        </w:rPr>
        <w:t>审核，组织有关专家对人选进行综合评审、考察、公示后，提 </w:t>
      </w:r>
      <w:r>
        <w:rPr>
          <w:spacing w:val="-10"/>
        </w:rPr>
        <w:t>出人选名单，提交县人才工作领导小组审定。</w:t>
      </w:r>
    </w:p>
    <w:p>
      <w:pPr>
        <w:pStyle w:val="BodyText"/>
        <w:spacing w:line="309" w:lineRule="auto"/>
        <w:ind w:left="221" w:right="274" w:firstLine="628"/>
        <w:jc w:val="both"/>
      </w:pPr>
      <w:r>
        <w:rPr>
          <w:rFonts w:ascii="黑体" w:hAnsi="黑体" w:eastAsia="黑体" w:hint="eastAsia"/>
          <w:spacing w:val="37"/>
        </w:rPr>
        <w:t>第十条 </w:t>
      </w:r>
      <w:r>
        <w:rPr/>
        <w:t>县人才工作领导小组研究确定“郯城和谐使者” 名单，经公示后报县政府命名，并颁发证书。</w:t>
      </w:r>
    </w:p>
    <w:p>
      <w:pPr>
        <w:pStyle w:val="BodyText"/>
        <w:tabs>
          <w:tab w:pos="1281" w:val="left" w:leader="none"/>
          <w:tab w:pos="1919" w:val="left" w:leader="none"/>
        </w:tabs>
        <w:spacing w:before="16"/>
        <w:ind w:right="78"/>
        <w:jc w:val="center"/>
        <w:rPr>
          <w:rFonts w:ascii="黑体" w:eastAsia="黑体" w:hint="eastAsia"/>
        </w:rPr>
      </w:pPr>
      <w:r>
        <w:rPr>
          <w:rFonts w:ascii="黑体" w:eastAsia="黑体" w:hint="eastAsia"/>
        </w:rPr>
        <w:t>第四章</w:t>
        <w:tab/>
        <w:t>待</w:t>
        <w:tab/>
        <w:t>遇</w:t>
      </w:r>
    </w:p>
    <w:p>
      <w:pPr>
        <w:pStyle w:val="BodyText"/>
        <w:rPr>
          <w:rFonts w:ascii="黑体"/>
        </w:rPr>
      </w:pPr>
    </w:p>
    <w:p>
      <w:pPr>
        <w:pStyle w:val="BodyText"/>
        <w:spacing w:before="2"/>
        <w:rPr>
          <w:rFonts w:ascii="黑体"/>
          <w:sz w:val="25"/>
        </w:rPr>
      </w:pPr>
    </w:p>
    <w:p>
      <w:pPr>
        <w:pStyle w:val="BodyText"/>
        <w:spacing w:line="309" w:lineRule="auto" w:before="1"/>
        <w:ind w:left="221" w:right="399" w:firstLine="628"/>
        <w:jc w:val="both"/>
      </w:pPr>
      <w:r>
        <w:rPr>
          <w:rFonts w:ascii="黑体" w:hAnsi="黑体" w:eastAsia="黑体" w:hint="eastAsia"/>
        </w:rPr>
        <w:t>第十一条 </w:t>
      </w:r>
      <w:r>
        <w:rPr/>
        <w:t>“郯城和谐使者”在管理期间，每人每月享受县政府津贴 600 元。</w:t>
      </w:r>
    </w:p>
    <w:p>
      <w:pPr>
        <w:pStyle w:val="BodyText"/>
        <w:spacing w:line="312" w:lineRule="auto" w:before="4"/>
        <w:ind w:left="221" w:right="399" w:firstLine="628"/>
        <w:jc w:val="both"/>
      </w:pPr>
      <w:r>
        <w:rPr>
          <w:rFonts w:ascii="黑体" w:hAnsi="黑体" w:eastAsia="黑体" w:hint="eastAsia"/>
          <w:spacing w:val="17"/>
        </w:rPr>
        <w:t>第十二条 </w:t>
      </w:r>
      <w:r>
        <w:rPr>
          <w:spacing w:val="-8"/>
        </w:rPr>
        <w:t>“郯城和谐使者”名单纳入郯城县高层次人才</w:t>
      </w:r>
      <w:r>
        <w:rPr>
          <w:spacing w:val="-13"/>
          <w:w w:val="95"/>
        </w:rPr>
        <w:t>库，县里视情组织郯城和谐使者”参加政治理论和业务知识培 </w:t>
      </w:r>
      <w:r>
        <w:rPr>
          <w:spacing w:val="-13"/>
        </w:rPr>
        <w:t>训等活动。</w:t>
      </w:r>
    </w:p>
    <w:p>
      <w:pPr>
        <w:pStyle w:val="BodyText"/>
        <w:spacing w:line="442" w:lineRule="exact"/>
        <w:ind w:left="850"/>
        <w:jc w:val="both"/>
      </w:pPr>
      <w:r>
        <w:rPr>
          <w:rFonts w:ascii="黑体" w:hAnsi="黑体" w:eastAsia="黑体" w:hint="eastAsia"/>
        </w:rPr>
        <w:t>第十三条 </w:t>
      </w:r>
      <w:r>
        <w:rPr/>
        <w:t>每年安排管理期内的“郯城和谐使者”参加健</w:t>
      </w:r>
    </w:p>
    <w:p>
      <w:pPr>
        <w:spacing w:after="0" w:line="442" w:lineRule="exact"/>
        <w:jc w:val="both"/>
        <w:sectPr>
          <w:pgSz w:w="11910" w:h="16840"/>
          <w:pgMar w:header="0" w:footer="1294" w:top="1580" w:bottom="1480" w:left="1480" w:right="1300"/>
        </w:sectPr>
      </w:pPr>
    </w:p>
    <w:p>
      <w:pPr>
        <w:pStyle w:val="BodyText"/>
        <w:spacing w:before="137"/>
        <w:ind w:left="221"/>
      </w:pPr>
      <w:r>
        <w:rPr/>
        <w:t>康查体。</w:t>
      </w:r>
    </w:p>
    <w:p>
      <w:pPr>
        <w:pStyle w:val="BodyText"/>
        <w:rPr>
          <w:sz w:val="20"/>
        </w:rPr>
      </w:pPr>
    </w:p>
    <w:p>
      <w:pPr>
        <w:pStyle w:val="BodyText"/>
        <w:spacing w:before="5"/>
        <w:rPr>
          <w:sz w:val="28"/>
        </w:rPr>
      </w:pPr>
    </w:p>
    <w:p>
      <w:pPr>
        <w:pStyle w:val="BodyText"/>
        <w:tabs>
          <w:tab w:pos="1281" w:val="left" w:leader="none"/>
          <w:tab w:pos="1919" w:val="left" w:leader="none"/>
        </w:tabs>
        <w:spacing w:before="55"/>
        <w:ind w:right="78"/>
        <w:jc w:val="center"/>
        <w:rPr>
          <w:rFonts w:ascii="黑体" w:eastAsia="黑体" w:hint="eastAsia"/>
        </w:rPr>
      </w:pPr>
      <w:r>
        <w:rPr>
          <w:rFonts w:ascii="黑体" w:eastAsia="黑体" w:hint="eastAsia"/>
        </w:rPr>
        <w:t>第五章</w:t>
        <w:tab/>
        <w:t>管</w:t>
        <w:tab/>
        <w:t>理</w:t>
      </w:r>
    </w:p>
    <w:p>
      <w:pPr>
        <w:pStyle w:val="BodyText"/>
        <w:rPr>
          <w:rFonts w:ascii="黑体"/>
        </w:rPr>
      </w:pPr>
    </w:p>
    <w:p>
      <w:pPr>
        <w:pStyle w:val="BodyText"/>
        <w:spacing w:before="2"/>
        <w:rPr>
          <w:rFonts w:ascii="黑体"/>
          <w:sz w:val="25"/>
        </w:rPr>
      </w:pPr>
    </w:p>
    <w:p>
      <w:pPr>
        <w:pStyle w:val="BodyText"/>
        <w:ind w:left="848"/>
        <w:jc w:val="both"/>
      </w:pPr>
      <w:r>
        <w:rPr>
          <w:rFonts w:ascii="黑体" w:hAnsi="黑体" w:eastAsia="黑体" w:hint="eastAsia"/>
        </w:rPr>
        <w:t>第十四条 </w:t>
      </w:r>
      <w:r>
        <w:rPr/>
        <w:t>“郯城和谐使者”每 1 年选拔 1 次，每次 10</w:t>
      </w:r>
    </w:p>
    <w:p>
      <w:pPr>
        <w:pStyle w:val="BodyText"/>
        <w:spacing w:before="131"/>
        <w:ind w:left="221"/>
        <w:jc w:val="both"/>
      </w:pPr>
      <w:r>
        <w:rPr/>
        <w:t>人。管理期限为 4 年。</w:t>
      </w:r>
    </w:p>
    <w:p>
      <w:pPr>
        <w:pStyle w:val="BodyText"/>
        <w:spacing w:line="312" w:lineRule="auto" w:before="133"/>
        <w:ind w:left="221" w:right="399" w:firstLine="626"/>
        <w:jc w:val="both"/>
      </w:pPr>
      <w:r>
        <w:rPr>
          <w:rFonts w:ascii="黑体" w:hAnsi="黑体" w:eastAsia="黑体" w:hint="eastAsia"/>
          <w:spacing w:val="18"/>
        </w:rPr>
        <w:t>第十五条 </w:t>
      </w:r>
      <w:r>
        <w:rPr>
          <w:spacing w:val="-8"/>
        </w:rPr>
        <w:t>“郯城和谐使者”选拔管理工作办公室负责建</w:t>
      </w:r>
      <w:r>
        <w:rPr>
          <w:spacing w:val="-15"/>
        </w:rPr>
        <w:t>立郯城和谐使者”档案，实行目标管理，制定年度、管理期工</w:t>
      </w:r>
      <w:r>
        <w:rPr>
          <w:spacing w:val="-15"/>
          <w:w w:val="95"/>
        </w:rPr>
        <w:t>作目标，定期对责任目标完成情况进行考核，考核结果作为评 </w:t>
      </w:r>
      <w:r>
        <w:rPr>
          <w:spacing w:val="-15"/>
        </w:rPr>
        <w:t>价工作业绩和落实待遇的重要依据。</w:t>
      </w:r>
    </w:p>
    <w:p>
      <w:pPr>
        <w:pStyle w:val="BodyText"/>
        <w:spacing w:line="309" w:lineRule="auto"/>
        <w:ind w:left="221" w:right="399" w:firstLine="626"/>
        <w:jc w:val="both"/>
      </w:pPr>
      <w:r>
        <w:rPr>
          <w:rFonts w:ascii="黑体" w:hAnsi="黑体" w:eastAsia="黑体" w:hint="eastAsia"/>
          <w:spacing w:val="29"/>
        </w:rPr>
        <w:t>第十六条 </w:t>
      </w:r>
      <w:r>
        <w:rPr>
          <w:spacing w:val="-6"/>
        </w:rPr>
        <w:t>在不同行业</w:t>
      </w:r>
      <w:r>
        <w:rPr/>
        <w:t>（领域</w:t>
      </w:r>
      <w:r>
        <w:rPr>
          <w:spacing w:val="-29"/>
        </w:rPr>
        <w:t>）</w:t>
      </w:r>
      <w:r>
        <w:rPr>
          <w:spacing w:val="-9"/>
        </w:rPr>
        <w:t>建立“郯城和谐使者”工</w:t>
      </w:r>
      <w:r>
        <w:rPr>
          <w:spacing w:val="-13"/>
          <w:w w:val="95"/>
        </w:rPr>
        <w:t>作站，组织“郯城和谐使者”开展社会工作专业知识培训，承 </w:t>
      </w:r>
      <w:r>
        <w:rPr>
          <w:spacing w:val="-17"/>
          <w:w w:val="95"/>
        </w:rPr>
        <w:t>担社会服务任务，开展业务交流、工作展示等活动，充分发挥 </w:t>
      </w:r>
      <w:r>
        <w:rPr>
          <w:spacing w:val="-17"/>
        </w:rPr>
        <w:t>示范带动作用。</w:t>
      </w:r>
    </w:p>
    <w:p>
      <w:pPr>
        <w:pStyle w:val="BodyText"/>
        <w:spacing w:before="6"/>
        <w:ind w:left="848"/>
        <w:jc w:val="both"/>
      </w:pPr>
      <w:r>
        <w:rPr>
          <w:rFonts w:ascii="黑体" w:hAnsi="黑体" w:eastAsia="黑体" w:hint="eastAsia"/>
        </w:rPr>
        <w:t>第十七条 </w:t>
      </w:r>
      <w:r>
        <w:rPr/>
        <w:t>对“郯城和谐使者”实行动态管理。</w:t>
      </w:r>
    </w:p>
    <w:p>
      <w:pPr>
        <w:pStyle w:val="BodyText"/>
        <w:spacing w:line="312" w:lineRule="auto" w:before="130"/>
        <w:ind w:left="221" w:right="397" w:firstLine="626"/>
        <w:jc w:val="both"/>
      </w:pPr>
      <w:r>
        <w:rPr>
          <w:spacing w:val="-8"/>
        </w:rPr>
        <w:t>对管理期内不再从事社会工作的、已经享受“齐鲁和谐使</w:t>
      </w:r>
      <w:r>
        <w:rPr>
          <w:spacing w:val="-13"/>
        </w:rPr>
        <w:t>者”或“沂蒙和谐使者”待遇的、调出县外工作的，可继续保留“郯城和谐使者”称号，但不再享受相关待遇。</w:t>
      </w:r>
    </w:p>
    <w:p>
      <w:pPr>
        <w:pStyle w:val="BodyText"/>
        <w:spacing w:line="312" w:lineRule="auto"/>
        <w:ind w:left="221" w:right="399" w:firstLine="626"/>
        <w:jc w:val="both"/>
      </w:pPr>
      <w:r>
        <w:rPr>
          <w:spacing w:val="-8"/>
          <w:w w:val="95"/>
        </w:rPr>
        <w:t>在管理期内有违法违纪行为的，或因个人过失给国家、集 </w:t>
      </w:r>
      <w:r>
        <w:rPr>
          <w:spacing w:val="-13"/>
          <w:w w:val="95"/>
        </w:rPr>
        <w:t>体、群众造成损失和严重后果的，以及其他原因不宜继续作为 </w:t>
      </w:r>
      <w:r>
        <w:rPr>
          <w:spacing w:val="-16"/>
          <w:w w:val="95"/>
        </w:rPr>
        <w:t>“郯城和谐使者”的，经选拔管理工作办公室核实，报县人才 </w:t>
      </w:r>
      <w:r>
        <w:rPr>
          <w:spacing w:val="-16"/>
        </w:rPr>
        <w:t>工作领导小组批准，取消其称号，停止相应待遇。</w:t>
      </w:r>
    </w:p>
    <w:p>
      <w:pPr>
        <w:pStyle w:val="BodyText"/>
        <w:spacing w:line="439" w:lineRule="exact"/>
        <w:ind w:left="848"/>
      </w:pPr>
      <w:r>
        <w:rPr/>
        <w:t>管理期满后，考核优秀且符合条件的可继续参加选拔。</w:t>
      </w:r>
    </w:p>
    <w:p>
      <w:pPr>
        <w:spacing w:after="0" w:line="439" w:lineRule="exact"/>
        <w:sectPr>
          <w:pgSz w:w="11910" w:h="16840"/>
          <w:pgMar w:header="0" w:footer="1294" w:top="1580" w:bottom="1480" w:left="1480" w:right="1300"/>
        </w:sectPr>
      </w:pPr>
    </w:p>
    <w:p>
      <w:pPr>
        <w:pStyle w:val="BodyText"/>
        <w:spacing w:line="312" w:lineRule="auto" w:before="137"/>
        <w:ind w:left="221" w:right="399" w:firstLine="626"/>
        <w:jc w:val="both"/>
      </w:pPr>
      <w:r>
        <w:rPr>
          <w:rFonts w:ascii="黑体" w:hAnsi="黑体" w:eastAsia="黑体" w:hint="eastAsia"/>
          <w:spacing w:val="29"/>
        </w:rPr>
        <w:t>第十八条 </w:t>
      </w:r>
      <w:r>
        <w:rPr>
          <w:spacing w:val="-13"/>
        </w:rPr>
        <w:t>加强对“郯城和谐使者”的宣传，充分利用各</w:t>
      </w:r>
      <w:r>
        <w:rPr>
          <w:spacing w:val="-15"/>
          <w:w w:val="95"/>
        </w:rPr>
        <w:t>种新闻媒体，广泛宣传社会工作者在化解社会矛盾、维护社会 </w:t>
      </w:r>
      <w:r>
        <w:rPr>
          <w:spacing w:val="-13"/>
          <w:w w:val="95"/>
        </w:rPr>
        <w:t>稳定、促进社会和谐等方面做出的积极贡献，营造“郯城和谐 </w:t>
      </w:r>
      <w:r>
        <w:rPr>
          <w:spacing w:val="-13"/>
        </w:rPr>
        <w:t>使者”发挥作用的良好舆论环境和社会氛围。</w:t>
      </w:r>
    </w:p>
    <w:p>
      <w:pPr>
        <w:pStyle w:val="BodyText"/>
        <w:spacing w:before="4"/>
        <w:rPr>
          <w:sz w:val="42"/>
        </w:rPr>
      </w:pPr>
    </w:p>
    <w:p>
      <w:pPr>
        <w:pStyle w:val="BodyText"/>
        <w:tabs>
          <w:tab w:pos="1723" w:val="left" w:leader="none"/>
          <w:tab w:pos="2364" w:val="left" w:leader="none"/>
        </w:tabs>
        <w:ind w:left="444"/>
        <w:jc w:val="center"/>
        <w:rPr>
          <w:rFonts w:ascii="黑体" w:eastAsia="黑体" w:hint="eastAsia"/>
        </w:rPr>
      </w:pPr>
      <w:r>
        <w:rPr>
          <w:rFonts w:ascii="黑体" w:eastAsia="黑体" w:hint="eastAsia"/>
        </w:rPr>
        <w:t>第六章</w:t>
        <w:tab/>
        <w:t>附</w:t>
        <w:tab/>
        <w:t>则</w:t>
      </w:r>
    </w:p>
    <w:p>
      <w:pPr>
        <w:pStyle w:val="BodyText"/>
        <w:rPr>
          <w:rFonts w:ascii="黑体"/>
        </w:rPr>
      </w:pPr>
    </w:p>
    <w:p>
      <w:pPr>
        <w:pStyle w:val="BodyText"/>
        <w:rPr>
          <w:rFonts w:ascii="黑体"/>
          <w:sz w:val="25"/>
        </w:rPr>
      </w:pPr>
    </w:p>
    <w:p>
      <w:pPr>
        <w:pStyle w:val="BodyText"/>
        <w:tabs>
          <w:tab w:pos="2059" w:val="left" w:leader="none"/>
        </w:tabs>
        <w:ind w:left="458"/>
        <w:jc w:val="center"/>
      </w:pPr>
      <w:r>
        <w:rPr/>
        <w:t>第十九条</w:t>
        <w:tab/>
      </w:r>
      <w:r>
        <w:rPr>
          <w:spacing w:val="9"/>
        </w:rPr>
        <w:t>本</w:t>
      </w:r>
      <w:r>
        <w:rPr>
          <w:spacing w:val="7"/>
        </w:rPr>
        <w:t>办</w:t>
      </w:r>
      <w:r>
        <w:rPr>
          <w:spacing w:val="9"/>
        </w:rPr>
        <w:t>法</w:t>
      </w:r>
      <w:r>
        <w:rPr/>
        <w:t>自</w:t>
      </w:r>
      <w:r>
        <w:rPr>
          <w:spacing w:val="-73"/>
        </w:rPr>
        <w:t> </w:t>
      </w:r>
      <w:r>
        <w:rPr/>
        <w:t>2018</w:t>
      </w:r>
      <w:r>
        <w:rPr>
          <w:spacing w:val="-74"/>
        </w:rPr>
        <w:t> </w:t>
      </w:r>
      <w:r>
        <w:rPr/>
        <w:t>年</w:t>
      </w:r>
      <w:r>
        <w:rPr>
          <w:spacing w:val="-73"/>
        </w:rPr>
        <w:t> </w:t>
      </w:r>
      <w:r>
        <w:rPr/>
        <w:t>6</w:t>
      </w:r>
      <w:r>
        <w:rPr>
          <w:spacing w:val="-74"/>
        </w:rPr>
        <w:t> </w:t>
      </w:r>
      <w:r>
        <w:rPr/>
        <w:t>月</w:t>
      </w:r>
      <w:r>
        <w:rPr>
          <w:spacing w:val="-72"/>
        </w:rPr>
        <w:t> </w:t>
      </w:r>
      <w:r>
        <w:rPr/>
        <w:t>1</w:t>
      </w:r>
      <w:r>
        <w:rPr>
          <w:spacing w:val="-74"/>
        </w:rPr>
        <w:t> </w:t>
      </w:r>
      <w:r>
        <w:rPr>
          <w:spacing w:val="9"/>
        </w:rPr>
        <w:t>日</w:t>
      </w:r>
      <w:r>
        <w:rPr>
          <w:spacing w:val="7"/>
        </w:rPr>
        <w:t>起</w:t>
      </w:r>
      <w:r>
        <w:rPr>
          <w:spacing w:val="9"/>
        </w:rPr>
        <w:t>施</w:t>
      </w:r>
      <w:r>
        <w:rPr>
          <w:spacing w:val="7"/>
        </w:rPr>
        <w:t>行</w:t>
      </w:r>
      <w:r>
        <w:rPr>
          <w:spacing w:val="9"/>
        </w:rPr>
        <w:t>，</w:t>
      </w:r>
      <w:r>
        <w:rPr>
          <w:spacing w:val="7"/>
        </w:rPr>
        <w:t>有</w:t>
      </w:r>
      <w:r>
        <w:rPr>
          <w:spacing w:val="9"/>
        </w:rPr>
        <w:t>效</w:t>
      </w:r>
      <w:r>
        <w:rPr>
          <w:spacing w:val="7"/>
        </w:rPr>
        <w:t>期</w:t>
      </w:r>
      <w:r>
        <w:rPr/>
        <w:t>至</w:t>
      </w:r>
    </w:p>
    <w:p>
      <w:pPr>
        <w:pStyle w:val="BodyText"/>
        <w:spacing w:before="133"/>
        <w:ind w:left="221"/>
      </w:pPr>
      <w:r>
        <w:rPr/>
        <w:t>2020</w:t>
      </w:r>
      <w:r>
        <w:rPr>
          <w:spacing w:val="-54"/>
        </w:rPr>
        <w:t> 年 </w:t>
      </w:r>
      <w:r>
        <w:rPr/>
        <w:t>5</w:t>
      </w:r>
      <w:r>
        <w:rPr>
          <w:spacing w:val="-55"/>
        </w:rPr>
        <w:t> 月 </w:t>
      </w:r>
      <w:r>
        <w:rPr/>
        <w:t>31</w:t>
      </w:r>
      <w:r>
        <w:rPr>
          <w:spacing w:val="-27"/>
        </w:rPr>
        <w:t> 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0"/>
        </w:rPr>
      </w:pPr>
      <w:r>
        <w:rPr/>
        <w:pict>
          <v:line style="position:absolute;mso-position-horizontal-relative:page;mso-position-vertical-relative:paragraph;z-index:-251646976;mso-wrap-distance-left:0;mso-wrap-distance-right:0" from="78.650002pt,10.012188pt" to="521.150002pt,10.012188pt" stroked="true" strokeweight="1.44pt" strokecolor="#000000">
            <v:stroke dashstyle="solid"/>
            <w10:wrap type="topAndBottom"/>
          </v:line>
        </w:pict>
      </w:r>
    </w:p>
    <w:p>
      <w:pPr>
        <w:tabs>
          <w:tab w:pos="5851" w:val="left" w:leader="none"/>
        </w:tabs>
        <w:spacing w:before="88" w:after="115"/>
        <w:ind w:left="533" w:right="0" w:firstLine="0"/>
        <w:jc w:val="left"/>
        <w:rPr>
          <w:sz w:val="28"/>
        </w:rPr>
      </w:pPr>
      <w:r>
        <w:rPr>
          <w:sz w:val="28"/>
        </w:rPr>
        <w:t>郯</w:t>
      </w:r>
      <w:r>
        <w:rPr>
          <w:spacing w:val="-3"/>
          <w:sz w:val="28"/>
        </w:rPr>
        <w:t>城</w:t>
      </w:r>
      <w:r>
        <w:rPr>
          <w:sz w:val="28"/>
        </w:rPr>
        <w:t>县人</w:t>
      </w:r>
      <w:r>
        <w:rPr>
          <w:spacing w:val="-3"/>
          <w:sz w:val="28"/>
        </w:rPr>
        <w:t>民</w:t>
      </w:r>
      <w:r>
        <w:rPr>
          <w:sz w:val="28"/>
        </w:rPr>
        <w:t>政府</w:t>
      </w:r>
      <w:r>
        <w:rPr>
          <w:spacing w:val="-3"/>
          <w:sz w:val="28"/>
        </w:rPr>
        <w:t>办</w:t>
      </w:r>
      <w:r>
        <w:rPr>
          <w:sz w:val="28"/>
        </w:rPr>
        <w:t>公室</w:t>
        <w:tab/>
        <w:t>2018</w:t>
      </w:r>
      <w:r>
        <w:rPr>
          <w:spacing w:val="-73"/>
          <w:sz w:val="28"/>
        </w:rPr>
        <w:t> </w:t>
      </w:r>
      <w:r>
        <w:rPr>
          <w:sz w:val="28"/>
        </w:rPr>
        <w:t>年</w:t>
      </w:r>
      <w:r>
        <w:rPr>
          <w:spacing w:val="-71"/>
          <w:sz w:val="28"/>
        </w:rPr>
        <w:t> </w:t>
      </w:r>
      <w:r>
        <w:rPr>
          <w:sz w:val="28"/>
        </w:rPr>
        <w:t>4</w:t>
      </w:r>
      <w:r>
        <w:rPr>
          <w:spacing w:val="-70"/>
          <w:sz w:val="28"/>
        </w:rPr>
        <w:t> </w:t>
      </w:r>
      <w:r>
        <w:rPr>
          <w:sz w:val="28"/>
        </w:rPr>
        <w:t>月</w:t>
      </w:r>
      <w:r>
        <w:rPr>
          <w:spacing w:val="-71"/>
          <w:sz w:val="28"/>
        </w:rPr>
        <w:t> </w:t>
      </w:r>
      <w:r>
        <w:rPr>
          <w:sz w:val="28"/>
        </w:rPr>
        <w:t>28</w:t>
      </w:r>
      <w:r>
        <w:rPr>
          <w:spacing w:val="-71"/>
          <w:sz w:val="28"/>
        </w:rPr>
        <w:t> </w:t>
      </w:r>
      <w:r>
        <w:rPr>
          <w:sz w:val="28"/>
        </w:rPr>
        <w:t>日</w:t>
      </w:r>
      <w:r>
        <w:rPr>
          <w:spacing w:val="-3"/>
          <w:sz w:val="28"/>
        </w:rPr>
        <w:t>印</w:t>
      </w:r>
      <w:r>
        <w:rPr>
          <w:sz w:val="28"/>
        </w:rPr>
        <w:t>发</w:t>
      </w:r>
    </w:p>
    <w:p>
      <w:pPr>
        <w:pStyle w:val="BodyText"/>
        <w:spacing w:line="30" w:lineRule="exact"/>
        <w:ind w:left="78"/>
        <w:rPr>
          <w:sz w:val="3"/>
        </w:rPr>
      </w:pPr>
      <w:r>
        <w:rPr>
          <w:position w:val="0"/>
          <w:sz w:val="3"/>
        </w:rPr>
        <w:pict>
          <v:group style="width:442.5pt;height:1.45pt;mso-position-horizontal-relative:char;mso-position-vertical-relative:line" coordorigin="0,0" coordsize="8850,29">
            <v:line style="position:absolute" from="0,14" to="8850,14" stroked="true" strokeweight="1.44pt" strokecolor="#000000">
              <v:stroke dashstyle="solid"/>
            </v:line>
          </v:group>
        </w:pict>
      </w:r>
      <w:r>
        <w:rPr>
          <w:position w:val="0"/>
          <w:sz w:val="3"/>
        </w:rPr>
      </w:r>
    </w:p>
    <w:sectPr>
      <w:pgSz w:w="11910" w:h="16840"/>
      <w:pgMar w:header="0" w:footer="1294" w:top="1580" w:bottom="1480" w:left="14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方正小标宋简体">
    <w:altName w:val="方正小标宋简体"/>
    <w:charset w:val="86"/>
    <w:family w:val="script"/>
    <w:pitch w:val="fixed"/>
  </w:font>
  <w:font w:name="黑体">
    <w:altName w:val="黑体"/>
    <w:charset w:val="86"/>
    <w:family w:val="modern"/>
    <w:pitch w:val="fixed"/>
  </w:font>
  <w:font w:name="楷体">
    <w:altName w:val="楷体"/>
    <w:charset w:val="86"/>
    <w:family w:val="modern"/>
    <w:pitch w:val="fixed"/>
  </w:font>
  <w:font w:name="文星仿宋">
    <w:altName w:val="文星仿宋"/>
    <w:charset w:val="86"/>
    <w:family w:val="modern"/>
    <w:pitch w:val="fixed"/>
  </w:font>
  <w:font w:name="宋体">
    <w:altName w:val="宋体"/>
    <w:charset w:val="86"/>
    <w:family w:val="auto"/>
    <w:pitch w:val="variable"/>
  </w:font>
  <w:font w:name="仿宋_GB2312">
    <w:altName w:val="仿宋_GB2312"/>
    <w:charset w:val="86"/>
    <w:family w:val="modern"/>
    <w:pitch w:val="fixed"/>
  </w:font>
  <w:font w:name="Arial">
    <w:altName w:val="Arial"/>
    <w:charset w:val="0"/>
    <w:family w:val="swiss"/>
    <w:pitch w:val="variable"/>
  </w:font>
  <w:font w:name="仿宋">
    <w:altName w:val="仿宋"/>
    <w:charset w:val="86"/>
    <w:family w:val="modern"/>
    <w:pitch w:val="fixed"/>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200012pt;margin-top:782.140015pt;width:16.05pt;height:11pt;mso-position-horizontal-relative:page;mso-position-vertical-relative:page;z-index:-252675072" type="#_x0000_t202" filled="false" stroked="false">
          <v:textbox inset="0,0,0,0">
            <w:txbxContent>
              <w:p>
                <w:pPr>
                  <w:spacing w:line="203" w:lineRule="exact" w:before="0"/>
                  <w:ind w:left="20" w:right="0" w:firstLine="0"/>
                  <w:jc w:val="left"/>
                  <w:rPr>
                    <w:rFonts w:ascii="Calibri"/>
                    <w:sz w:val="18"/>
                  </w:rPr>
                </w:pPr>
                <w:r>
                  <w:rPr>
                    <w:rFonts w:ascii="Calibri"/>
                    <w:sz w:val="18"/>
                  </w:rPr>
                  <w:t>- </w:t>
                </w:r>
                <w:r>
                  <w:rPr/>
                  <w:fldChar w:fldCharType="begin"/>
                </w:r>
                <w:r>
                  <w:rPr>
                    <w:rFonts w:ascii="Calibri"/>
                    <w:sz w:val="18"/>
                  </w:rPr>
                  <w:instrText> PAGE </w:instrText>
                </w:r>
                <w:r>
                  <w:rPr/>
                  <w:fldChar w:fldCharType="separate"/>
                </w:r>
                <w:r>
                  <w:rPr/>
                  <w:t>1</w:t>
                </w:r>
                <w:r>
                  <w:rPr/>
                  <w:fldChar w:fldCharType="end"/>
                </w:r>
                <w:r>
                  <w:rPr>
                    <w:rFonts w:ascii="Calibri"/>
                    <w:sz w:val="1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0.399994pt;margin-top:766.217529pt;width:32pt;height:14pt;mso-position-horizontal-relative:page;mso-position-vertical-relative:page;z-index:-252674048"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4</w:t>
                </w:r>
                <w:r>
                  <w:rPr/>
                  <w:fldChar w:fldCharType="end"/>
                </w:r>
                <w:r>
                  <w:rPr>
                    <w:rFonts w:ascii="宋体"/>
                    <w:sz w:val="24"/>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0.399994pt;margin-top:766.217529pt;width:38pt;height:14pt;mso-position-horizontal-relative:page;mso-position-vertical-relative:page;z-index:-252673024"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10</w:t>
                </w:r>
                <w:r>
                  <w:rPr/>
                  <w:fldChar w:fldCharType="end"/>
                </w:r>
                <w:r>
                  <w:rPr>
                    <w:rFonts w:ascii="宋体"/>
                    <w:sz w:val="24"/>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0.399994pt;margin-top:766.217529pt;width:38pt;height:14pt;mso-position-horizontal-relative:page;mso-position-vertical-relative:page;z-index:-252672000"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20</w:t>
                </w:r>
                <w:r>
                  <w:rPr/>
                  <w:fldChar w:fldCharType="end"/>
                </w:r>
                <w:r>
                  <w:rPr>
                    <w:rFonts w:ascii="宋体"/>
                    <w:sz w:val="24"/>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0.399994pt;margin-top:766.217529pt;width:38pt;height:14pt;mso-position-horizontal-relative:page;mso-position-vertical-relative:page;z-index:-252670976"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30</w:t>
                </w:r>
                <w:r>
                  <w:rPr/>
                  <w:fldChar w:fldCharType="end"/>
                </w:r>
                <w:r>
                  <w:rPr>
                    <w:rFonts w:ascii="宋体"/>
                    <w:sz w:val="24"/>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0.399994pt;margin-top:766.217529pt;width:38pt;height:14pt;mso-position-horizontal-relative:page;mso-position-vertical-relative:page;z-index:-252669952" type="#_x0000_t202" filled="false" stroked="false">
          <v:textbox inset="0,0,0,0">
            <w:txbxContent>
              <w:p>
                <w:pPr>
                  <w:spacing w:line="280" w:lineRule="exact" w:before="0"/>
                  <w:ind w:left="20" w:right="0" w:firstLine="0"/>
                  <w:jc w:val="left"/>
                  <w:rPr>
                    <w:rFonts w:ascii="宋体"/>
                    <w:sz w:val="24"/>
                  </w:rPr>
                </w:pPr>
                <w:r>
                  <w:rPr>
                    <w:rFonts w:ascii="宋体"/>
                    <w:sz w:val="24"/>
                  </w:rPr>
                  <w:t>- </w:t>
                </w:r>
                <w:r>
                  <w:rPr/>
                  <w:fldChar w:fldCharType="begin"/>
                </w:r>
                <w:r>
                  <w:rPr>
                    <w:rFonts w:ascii="宋体"/>
                    <w:sz w:val="24"/>
                  </w:rPr>
                  <w:instrText> PAGE </w:instrText>
                </w:r>
                <w:r>
                  <w:rPr/>
                  <w:fldChar w:fldCharType="separate"/>
                </w:r>
                <w:r>
                  <w:rPr/>
                  <w:t>40</w:t>
                </w:r>
                <w:r>
                  <w:rPr/>
                  <w:fldChar w:fldCharType="end"/>
                </w:r>
                <w:r>
                  <w:rPr>
                    <w:rFonts w:ascii="宋体"/>
                    <w:sz w:val="24"/>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1" w:hanging="339"/>
        <w:jc w:val="left"/>
      </w:pPr>
      <w:rPr>
        <w:rFonts w:hint="default" w:ascii="文星仿宋" w:hAnsi="文星仿宋" w:eastAsia="文星仿宋" w:cs="文星仿宋"/>
        <w:spacing w:val="-1"/>
        <w:w w:val="99"/>
        <w:sz w:val="32"/>
        <w:szCs w:val="32"/>
        <w:lang w:val="zh-CN" w:eastAsia="zh-CN" w:bidi="zh-CN"/>
      </w:rPr>
    </w:lvl>
    <w:lvl w:ilvl="1">
      <w:start w:val="0"/>
      <w:numFmt w:val="bullet"/>
      <w:lvlText w:val="•"/>
      <w:lvlJc w:val="left"/>
      <w:pPr>
        <w:ind w:left="1110" w:hanging="339"/>
      </w:pPr>
      <w:rPr>
        <w:rFonts w:hint="default"/>
        <w:lang w:val="zh-CN" w:eastAsia="zh-CN" w:bidi="zh-CN"/>
      </w:rPr>
    </w:lvl>
    <w:lvl w:ilvl="2">
      <w:start w:val="0"/>
      <w:numFmt w:val="bullet"/>
      <w:lvlText w:val="•"/>
      <w:lvlJc w:val="left"/>
      <w:pPr>
        <w:ind w:left="2001" w:hanging="339"/>
      </w:pPr>
      <w:rPr>
        <w:rFonts w:hint="default"/>
        <w:lang w:val="zh-CN" w:eastAsia="zh-CN" w:bidi="zh-CN"/>
      </w:rPr>
    </w:lvl>
    <w:lvl w:ilvl="3">
      <w:start w:val="0"/>
      <w:numFmt w:val="bullet"/>
      <w:lvlText w:val="•"/>
      <w:lvlJc w:val="left"/>
      <w:pPr>
        <w:ind w:left="2891" w:hanging="339"/>
      </w:pPr>
      <w:rPr>
        <w:rFonts w:hint="default"/>
        <w:lang w:val="zh-CN" w:eastAsia="zh-CN" w:bidi="zh-CN"/>
      </w:rPr>
    </w:lvl>
    <w:lvl w:ilvl="4">
      <w:start w:val="0"/>
      <w:numFmt w:val="bullet"/>
      <w:lvlText w:val="•"/>
      <w:lvlJc w:val="left"/>
      <w:pPr>
        <w:ind w:left="3782" w:hanging="339"/>
      </w:pPr>
      <w:rPr>
        <w:rFonts w:hint="default"/>
        <w:lang w:val="zh-CN" w:eastAsia="zh-CN" w:bidi="zh-CN"/>
      </w:rPr>
    </w:lvl>
    <w:lvl w:ilvl="5">
      <w:start w:val="0"/>
      <w:numFmt w:val="bullet"/>
      <w:lvlText w:val="•"/>
      <w:lvlJc w:val="left"/>
      <w:pPr>
        <w:ind w:left="4673" w:hanging="339"/>
      </w:pPr>
      <w:rPr>
        <w:rFonts w:hint="default"/>
        <w:lang w:val="zh-CN" w:eastAsia="zh-CN" w:bidi="zh-CN"/>
      </w:rPr>
    </w:lvl>
    <w:lvl w:ilvl="6">
      <w:start w:val="0"/>
      <w:numFmt w:val="bullet"/>
      <w:lvlText w:val="•"/>
      <w:lvlJc w:val="left"/>
      <w:pPr>
        <w:ind w:left="5563" w:hanging="339"/>
      </w:pPr>
      <w:rPr>
        <w:rFonts w:hint="default"/>
        <w:lang w:val="zh-CN" w:eastAsia="zh-CN" w:bidi="zh-CN"/>
      </w:rPr>
    </w:lvl>
    <w:lvl w:ilvl="7">
      <w:start w:val="0"/>
      <w:numFmt w:val="bullet"/>
      <w:lvlText w:val="•"/>
      <w:lvlJc w:val="left"/>
      <w:pPr>
        <w:ind w:left="6454" w:hanging="339"/>
      </w:pPr>
      <w:rPr>
        <w:rFonts w:hint="default"/>
        <w:lang w:val="zh-CN" w:eastAsia="zh-CN" w:bidi="zh-CN"/>
      </w:rPr>
    </w:lvl>
    <w:lvl w:ilvl="8">
      <w:start w:val="0"/>
      <w:numFmt w:val="bullet"/>
      <w:lvlText w:val="•"/>
      <w:lvlJc w:val="left"/>
      <w:pPr>
        <w:ind w:left="7344" w:hanging="339"/>
      </w:pPr>
      <w:rPr>
        <w:rFonts w:hint="default"/>
        <w:lang w:val="zh-CN" w:eastAsia="zh-CN" w:bidi="zh-CN"/>
      </w:rPr>
    </w:lvl>
  </w:abstractNum>
  <w:abstractNum w:abstractNumId="0">
    <w:multiLevelType w:val="hybridMultilevel"/>
    <w:lvl w:ilvl="0">
      <w:start w:val="1"/>
      <w:numFmt w:val="decimal"/>
      <w:lvlText w:val="%1."/>
      <w:lvlJc w:val="left"/>
      <w:pPr>
        <w:ind w:left="1198" w:hanging="339"/>
        <w:jc w:val="left"/>
      </w:pPr>
      <w:rPr>
        <w:rFonts w:hint="default" w:ascii="文星仿宋" w:hAnsi="文星仿宋" w:eastAsia="文星仿宋" w:cs="文星仿宋"/>
        <w:spacing w:val="-1"/>
        <w:w w:val="99"/>
        <w:sz w:val="32"/>
        <w:szCs w:val="32"/>
        <w:lang w:val="zh-CN" w:eastAsia="zh-CN" w:bidi="zh-CN"/>
      </w:rPr>
    </w:lvl>
    <w:lvl w:ilvl="1">
      <w:start w:val="2"/>
      <w:numFmt w:val="decimal"/>
      <w:lvlText w:val="%2."/>
      <w:lvlJc w:val="left"/>
      <w:pPr>
        <w:ind w:left="2180" w:hanging="360"/>
        <w:jc w:val="left"/>
      </w:pPr>
      <w:rPr>
        <w:rFonts w:hint="default" w:ascii="文星仿宋" w:hAnsi="文星仿宋" w:eastAsia="文星仿宋" w:cs="文星仿宋"/>
        <w:spacing w:val="0"/>
        <w:w w:val="99"/>
        <w:sz w:val="32"/>
        <w:szCs w:val="32"/>
        <w:lang w:val="zh-CN" w:eastAsia="zh-CN" w:bidi="zh-CN"/>
      </w:rPr>
    </w:lvl>
    <w:lvl w:ilvl="2">
      <w:start w:val="0"/>
      <w:numFmt w:val="bullet"/>
      <w:lvlText w:val="•"/>
      <w:lvlJc w:val="left"/>
      <w:pPr>
        <w:ind w:left="2951" w:hanging="360"/>
      </w:pPr>
      <w:rPr>
        <w:rFonts w:hint="default"/>
        <w:lang w:val="zh-CN" w:eastAsia="zh-CN" w:bidi="zh-CN"/>
      </w:rPr>
    </w:lvl>
    <w:lvl w:ilvl="3">
      <w:start w:val="0"/>
      <w:numFmt w:val="bullet"/>
      <w:lvlText w:val="•"/>
      <w:lvlJc w:val="left"/>
      <w:pPr>
        <w:ind w:left="3723" w:hanging="360"/>
      </w:pPr>
      <w:rPr>
        <w:rFonts w:hint="default"/>
        <w:lang w:val="zh-CN" w:eastAsia="zh-CN" w:bidi="zh-CN"/>
      </w:rPr>
    </w:lvl>
    <w:lvl w:ilvl="4">
      <w:start w:val="0"/>
      <w:numFmt w:val="bullet"/>
      <w:lvlText w:val="•"/>
      <w:lvlJc w:val="left"/>
      <w:pPr>
        <w:ind w:left="4495" w:hanging="360"/>
      </w:pPr>
      <w:rPr>
        <w:rFonts w:hint="default"/>
        <w:lang w:val="zh-CN" w:eastAsia="zh-CN" w:bidi="zh-CN"/>
      </w:rPr>
    </w:lvl>
    <w:lvl w:ilvl="5">
      <w:start w:val="0"/>
      <w:numFmt w:val="bullet"/>
      <w:lvlText w:val="•"/>
      <w:lvlJc w:val="left"/>
      <w:pPr>
        <w:ind w:left="5267" w:hanging="360"/>
      </w:pPr>
      <w:rPr>
        <w:rFonts w:hint="default"/>
        <w:lang w:val="zh-CN" w:eastAsia="zh-CN" w:bidi="zh-CN"/>
      </w:rPr>
    </w:lvl>
    <w:lvl w:ilvl="6">
      <w:start w:val="0"/>
      <w:numFmt w:val="bullet"/>
      <w:lvlText w:val="•"/>
      <w:lvlJc w:val="left"/>
      <w:pPr>
        <w:ind w:left="6038" w:hanging="360"/>
      </w:pPr>
      <w:rPr>
        <w:rFonts w:hint="default"/>
        <w:lang w:val="zh-CN" w:eastAsia="zh-CN" w:bidi="zh-CN"/>
      </w:rPr>
    </w:lvl>
    <w:lvl w:ilvl="7">
      <w:start w:val="0"/>
      <w:numFmt w:val="bullet"/>
      <w:lvlText w:val="•"/>
      <w:lvlJc w:val="left"/>
      <w:pPr>
        <w:ind w:left="6810" w:hanging="360"/>
      </w:pPr>
      <w:rPr>
        <w:rFonts w:hint="default"/>
        <w:lang w:val="zh-CN" w:eastAsia="zh-CN" w:bidi="zh-CN"/>
      </w:rPr>
    </w:lvl>
    <w:lvl w:ilvl="8">
      <w:start w:val="0"/>
      <w:numFmt w:val="bullet"/>
      <w:lvlText w:val="•"/>
      <w:lvlJc w:val="left"/>
      <w:pPr>
        <w:ind w:left="7582" w:hanging="360"/>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文星仿宋" w:hAnsi="文星仿宋" w:eastAsia="文星仿宋" w:cs="文星仿宋"/>
      <w:lang w:val="zh-CN" w:eastAsia="zh-CN" w:bidi="zh-CN"/>
    </w:rPr>
  </w:style>
  <w:style w:styleId="TOC1" w:type="paragraph">
    <w:name w:val="TOC 1"/>
    <w:basedOn w:val="Normal"/>
    <w:uiPriority w:val="1"/>
    <w:qFormat/>
    <w:pPr>
      <w:spacing w:before="2"/>
      <w:ind w:left="104"/>
    </w:pPr>
    <w:rPr>
      <w:rFonts w:ascii="文星仿宋" w:hAnsi="文星仿宋" w:eastAsia="文星仿宋" w:cs="文星仿宋"/>
      <w:sz w:val="32"/>
      <w:szCs w:val="32"/>
      <w:lang w:val="zh-CN" w:eastAsia="zh-CN" w:bidi="zh-CN"/>
    </w:rPr>
  </w:style>
  <w:style w:styleId="BodyText" w:type="paragraph">
    <w:name w:val="Body Text"/>
    <w:basedOn w:val="Normal"/>
    <w:uiPriority w:val="1"/>
    <w:qFormat/>
    <w:pPr/>
    <w:rPr>
      <w:rFonts w:ascii="文星仿宋" w:hAnsi="文星仿宋" w:eastAsia="文星仿宋" w:cs="文星仿宋"/>
      <w:sz w:val="32"/>
      <w:szCs w:val="32"/>
      <w:lang w:val="zh-CN" w:eastAsia="zh-CN" w:bidi="zh-CN"/>
    </w:rPr>
  </w:style>
  <w:style w:styleId="Heading1" w:type="paragraph">
    <w:name w:val="Heading 1"/>
    <w:basedOn w:val="Normal"/>
    <w:uiPriority w:val="1"/>
    <w:qFormat/>
    <w:pPr>
      <w:spacing w:before="183"/>
      <w:ind w:left="773"/>
      <w:outlineLvl w:val="1"/>
    </w:pPr>
    <w:rPr>
      <w:rFonts w:ascii="PMingLiU" w:hAnsi="PMingLiU" w:eastAsia="PMingLiU" w:cs="PMingLiU"/>
      <w:sz w:val="120"/>
      <w:szCs w:val="120"/>
      <w:lang w:val="zh-CN" w:eastAsia="zh-CN" w:bidi="zh-CN"/>
    </w:rPr>
  </w:style>
  <w:style w:styleId="Heading2" w:type="paragraph">
    <w:name w:val="Heading 2"/>
    <w:basedOn w:val="Normal"/>
    <w:uiPriority w:val="1"/>
    <w:qFormat/>
    <w:pPr>
      <w:ind w:left="631" w:right="811"/>
      <w:jc w:val="center"/>
      <w:outlineLvl w:val="2"/>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spacing w:before="152"/>
      <w:ind w:left="1220" w:hanging="360"/>
    </w:pPr>
    <w:rPr>
      <w:rFonts w:ascii="文星仿宋" w:hAnsi="文星仿宋" w:eastAsia="文星仿宋" w:cs="文星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2021-01-03T08:49:44Z</dcterms:created>
  <dcterms:modified xsi:type="dcterms:W3CDTF">2021-01-03T08:49:44Z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WPS 文字</vt:lpwstr>
  </property>
  <property fmtid="{D5CDD505-2E9C-101B-9397-08002B2CF9AE}" pid="4" name="LastSaved">
    <vt:filetime>2021-01-03T00:00:00Z</vt:filetime>
  </property>
</Properties>
</file>