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8"/>
        </w:rPr>
      </w:pPr>
    </w:p>
    <w:p>
      <w:pPr>
        <w:pStyle w:val="BodyText"/>
        <w:spacing w:before="0"/>
        <w:ind w:left="2053"/>
        <w:rPr>
          <w:rFonts w:ascii="Times New Roman"/>
          <w:sz w:val="20"/>
        </w:rPr>
      </w:pPr>
      <w:r>
        <w:rPr>
          <w:rFonts w:ascii="Times New Roman"/>
          <w:sz w:val="20"/>
        </w:rPr>
        <w:drawing>
          <wp:inline distT="0" distB="0" distL="0" distR="0">
            <wp:extent cx="3344242" cy="3629405"/>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344242" cy="3629405"/>
                    </a:xfrm>
                    <a:prstGeom prst="rect">
                      <a:avLst/>
                    </a:prstGeom>
                  </pic:spPr>
                </pic:pic>
              </a:graphicData>
            </a:graphic>
          </wp:inline>
        </w:drawing>
      </w:r>
      <w:r>
        <w:rPr>
          <w:rFonts w:ascii="Times New Roman"/>
          <w:sz w:val="20"/>
        </w:rPr>
      </w:r>
    </w:p>
    <w:p>
      <w:pPr>
        <w:pStyle w:val="BodyText"/>
        <w:spacing w:before="0"/>
        <w:rPr>
          <w:rFonts w:ascii="Times New Roman"/>
          <w:sz w:val="20"/>
        </w:rPr>
      </w:pPr>
    </w:p>
    <w:p>
      <w:pPr>
        <w:pStyle w:val="BodyText"/>
        <w:spacing w:before="11"/>
        <w:rPr>
          <w:rFonts w:ascii="Times New Roman"/>
          <w:sz w:val="24"/>
        </w:rPr>
      </w:pPr>
    </w:p>
    <w:p>
      <w:pPr>
        <w:spacing w:line="1344" w:lineRule="exact" w:before="0"/>
        <w:ind w:left="0" w:right="237" w:firstLine="0"/>
        <w:jc w:val="center"/>
        <w:rPr>
          <w:rFonts w:ascii="方正小标宋简体" w:eastAsia="方正小标宋简体" w:hint="eastAsia"/>
          <w:sz w:val="84"/>
        </w:rPr>
      </w:pPr>
      <w:r>
        <w:rPr>
          <w:rFonts w:ascii="方正小标宋简体" w:eastAsia="方正小标宋简体" w:hint="eastAsia"/>
          <w:sz w:val="84"/>
        </w:rPr>
        <w:t>郯城县人民政府公报</w:t>
      </w:r>
    </w:p>
    <w:p>
      <w:pPr>
        <w:pStyle w:val="BodyText"/>
        <w:spacing w:before="0"/>
        <w:rPr>
          <w:rFonts w:ascii="方正小标宋简体"/>
          <w:sz w:val="100"/>
        </w:rPr>
      </w:pPr>
    </w:p>
    <w:p>
      <w:pPr>
        <w:pStyle w:val="BodyText"/>
        <w:spacing w:before="1"/>
        <w:rPr>
          <w:rFonts w:ascii="方正小标宋简体"/>
          <w:sz w:val="145"/>
        </w:rPr>
      </w:pPr>
    </w:p>
    <w:p>
      <w:pPr>
        <w:spacing w:line="883" w:lineRule="exact" w:before="0"/>
        <w:ind w:left="0" w:right="231" w:firstLine="0"/>
        <w:jc w:val="center"/>
        <w:rPr>
          <w:rFonts w:ascii="方正小标宋简体"/>
          <w:sz w:val="52"/>
        </w:rPr>
      </w:pPr>
      <w:r>
        <w:rPr>
          <w:rFonts w:ascii="方正小标宋简体"/>
          <w:w w:val="200"/>
          <w:sz w:val="52"/>
        </w:rPr>
        <w:t>2019</w:t>
      </w:r>
    </w:p>
    <w:p>
      <w:pPr>
        <w:spacing w:line="813" w:lineRule="exact" w:before="0"/>
        <w:ind w:left="0" w:right="235" w:firstLine="0"/>
        <w:jc w:val="center"/>
        <w:rPr>
          <w:rFonts w:ascii="方正小标宋简体" w:eastAsia="方正小标宋简体" w:hint="eastAsia"/>
          <w:sz w:val="48"/>
        </w:rPr>
      </w:pPr>
      <w:r>
        <w:rPr>
          <w:rFonts w:ascii="方正小标宋简体" w:eastAsia="方正小标宋简体" w:hint="eastAsia"/>
          <w:sz w:val="48"/>
        </w:rPr>
        <w:t>第 2 期</w:t>
      </w:r>
    </w:p>
    <w:p>
      <w:pPr>
        <w:spacing w:after="0" w:line="813" w:lineRule="exact"/>
        <w:jc w:val="center"/>
        <w:rPr>
          <w:rFonts w:ascii="方正小标宋简体" w:eastAsia="方正小标宋简体" w:hint="eastAsia"/>
          <w:sz w:val="48"/>
        </w:rPr>
        <w:sectPr>
          <w:type w:val="continuous"/>
          <w:pgSz w:w="11900" w:h="16850"/>
          <w:pgMar w:top="1600" w:bottom="280" w:left="1300" w:right="1060"/>
        </w:sectPr>
      </w:pPr>
    </w:p>
    <w:p>
      <w:pPr>
        <w:spacing w:line="604" w:lineRule="exact" w:before="0"/>
        <w:ind w:left="0" w:right="236" w:firstLine="0"/>
        <w:jc w:val="center"/>
        <w:rPr>
          <w:rFonts w:ascii="方正小标宋简体" w:eastAsia="方正小标宋简体" w:hint="eastAsia"/>
          <w:sz w:val="36"/>
        </w:rPr>
      </w:pPr>
      <w:r>
        <w:rPr>
          <w:rFonts w:ascii="方正小标宋简体" w:eastAsia="方正小标宋简体" w:hint="eastAsia"/>
          <w:sz w:val="36"/>
        </w:rPr>
        <w:t>郯城县人民政府公报</w:t>
      </w:r>
    </w:p>
    <w:p>
      <w:pPr>
        <w:pStyle w:val="BodyText"/>
        <w:spacing w:before="1"/>
        <w:rPr>
          <w:rFonts w:ascii="方正小标宋简体"/>
          <w:sz w:val="17"/>
        </w:rPr>
      </w:pPr>
    </w:p>
    <w:p>
      <w:pPr>
        <w:spacing w:before="66"/>
        <w:ind w:left="118" w:right="0" w:firstLine="0"/>
        <w:jc w:val="left"/>
        <w:rPr>
          <w:rFonts w:ascii="楷体_GB2312" w:eastAsia="楷体_GB2312" w:hint="eastAsia"/>
          <w:b/>
          <w:sz w:val="24"/>
        </w:rPr>
      </w:pPr>
      <w:r>
        <w:rPr>
          <w:rFonts w:ascii="楷体_GB2312" w:eastAsia="楷体_GB2312" w:hint="eastAsia"/>
          <w:b/>
          <w:sz w:val="24"/>
        </w:rPr>
        <w:t>公报介绍：</w:t>
      </w:r>
    </w:p>
    <w:p>
      <w:pPr>
        <w:pStyle w:val="BodyText"/>
        <w:spacing w:before="0"/>
        <w:rPr>
          <w:rFonts w:ascii="楷体_GB2312"/>
          <w:b/>
          <w:sz w:val="24"/>
        </w:rPr>
      </w:pPr>
    </w:p>
    <w:p>
      <w:pPr>
        <w:pStyle w:val="BodyText"/>
        <w:spacing w:before="11"/>
        <w:rPr>
          <w:rFonts w:ascii="楷体_GB2312"/>
          <w:b/>
          <w:sz w:val="21"/>
        </w:rPr>
      </w:pPr>
    </w:p>
    <w:p>
      <w:pPr>
        <w:spacing w:line="372" w:lineRule="auto" w:before="0"/>
        <w:ind w:left="118" w:right="242" w:firstLine="0"/>
        <w:jc w:val="left"/>
        <w:rPr>
          <w:sz w:val="24"/>
        </w:rPr>
      </w:pPr>
      <w:r>
        <w:rPr>
          <w:spacing w:val="-14"/>
          <w:sz w:val="24"/>
        </w:rPr>
        <w:t>政府信息公开是人民群众行使知情权、监督权、参与权的基础，是促进政府公正、公平、公开行使权力，提高管理服务水平的重要手段，是从源头预防和治理腐败的有效措施。</w:t>
      </w:r>
    </w:p>
    <w:p>
      <w:pPr>
        <w:spacing w:line="372" w:lineRule="auto" w:before="1"/>
        <w:ind w:left="118" w:right="355" w:firstLine="0"/>
        <w:jc w:val="both"/>
        <w:rPr>
          <w:sz w:val="24"/>
        </w:rPr>
      </w:pPr>
      <w:r>
        <w:rPr>
          <w:spacing w:val="-6"/>
          <w:sz w:val="24"/>
        </w:rPr>
        <w:t>《郯城县人民政府公报》由县政府主管、主办，县政府办公室负责编辑出版，是县政府唯一的政府出版物，主要承载县政府主动公开的政府信息，是县政府发布政令、宣传政</w:t>
      </w:r>
      <w:r>
        <w:rPr>
          <w:spacing w:val="-8"/>
          <w:sz w:val="24"/>
        </w:rPr>
        <w:t>策、指导工作的权威载体，是政府信息公开的主渠道，是广大人民群众阅读文件、掌握</w:t>
      </w:r>
      <w:r>
        <w:rPr>
          <w:sz w:val="24"/>
        </w:rPr>
        <w:t>政策法规、维护合法权益的重要渠道和手段。</w:t>
      </w:r>
    </w:p>
    <w:p>
      <w:pPr>
        <w:pStyle w:val="BodyText"/>
        <w:spacing w:before="10"/>
        <w:rPr>
          <w:sz w:val="21"/>
        </w:rPr>
      </w:pPr>
    </w:p>
    <w:p>
      <w:pPr>
        <w:spacing w:before="0"/>
        <w:ind w:left="118" w:right="0" w:firstLine="0"/>
        <w:jc w:val="left"/>
        <w:rPr>
          <w:rFonts w:ascii="楷体_GB2312" w:eastAsia="楷体_GB2312" w:hint="eastAsia"/>
          <w:b/>
          <w:sz w:val="24"/>
        </w:rPr>
      </w:pPr>
      <w:r>
        <w:rPr>
          <w:rFonts w:ascii="楷体_GB2312" w:eastAsia="楷体_GB2312" w:hint="eastAsia"/>
          <w:b/>
          <w:sz w:val="24"/>
        </w:rPr>
        <w:t>背景资料：</w:t>
      </w:r>
    </w:p>
    <w:p>
      <w:pPr>
        <w:pStyle w:val="BodyText"/>
        <w:spacing w:before="0"/>
        <w:rPr>
          <w:rFonts w:ascii="楷体_GB2312"/>
          <w:b/>
          <w:sz w:val="24"/>
        </w:rPr>
      </w:pPr>
    </w:p>
    <w:p>
      <w:pPr>
        <w:pStyle w:val="BodyText"/>
        <w:spacing w:before="11"/>
        <w:rPr>
          <w:rFonts w:ascii="楷体_GB2312"/>
          <w:b/>
          <w:sz w:val="21"/>
        </w:rPr>
      </w:pPr>
    </w:p>
    <w:p>
      <w:pPr>
        <w:spacing w:line="372" w:lineRule="auto" w:before="0"/>
        <w:ind w:left="118" w:right="296" w:firstLine="0"/>
        <w:jc w:val="left"/>
        <w:rPr>
          <w:sz w:val="24"/>
        </w:rPr>
      </w:pPr>
      <w:r>
        <w:rPr>
          <w:sz w:val="24"/>
        </w:rPr>
        <w:t>政府公报是行政机关编印的专门登载法律、法令、决定、命令、条约、协定或其他官方文件的刊物。</w:t>
      </w:r>
    </w:p>
    <w:p>
      <w:pPr>
        <w:spacing w:line="372" w:lineRule="auto" w:before="1"/>
        <w:ind w:left="118" w:right="296" w:firstLine="0"/>
        <w:jc w:val="left"/>
        <w:rPr>
          <w:sz w:val="24"/>
        </w:rPr>
      </w:pPr>
      <w:r>
        <w:rPr>
          <w:sz w:val="24"/>
        </w:rPr>
        <w:t>《中国加入世贸组织议定书》第二条：政府应设立或指定一官方刊物，用于公布有关法律、法规及其他措施，并定期出版该刊物，使个人和企业可容易获得该刊物各期。</w:t>
      </w:r>
    </w:p>
    <w:p>
      <w:pPr>
        <w:spacing w:line="372" w:lineRule="auto" w:before="0"/>
        <w:ind w:left="118" w:right="353" w:firstLine="0"/>
        <w:jc w:val="both"/>
        <w:rPr>
          <w:sz w:val="24"/>
        </w:rPr>
      </w:pPr>
      <w:r>
        <w:rPr>
          <w:spacing w:val="-5"/>
          <w:sz w:val="24"/>
        </w:rPr>
        <w:t>《中华人民共和国立法法》第七十七条：地方政府规章签署公布后，及时在本级人民政</w:t>
      </w:r>
      <w:r>
        <w:rPr>
          <w:spacing w:val="-4"/>
          <w:sz w:val="24"/>
        </w:rPr>
        <w:t>府公报和在本行政区域范围内发行的报纸上刊登。在地方人民政府公报上刊登的规章文</w:t>
      </w:r>
      <w:r>
        <w:rPr>
          <w:sz w:val="24"/>
        </w:rPr>
        <w:t>本为标准文本。</w:t>
      </w:r>
    </w:p>
    <w:p>
      <w:pPr>
        <w:spacing w:line="372" w:lineRule="auto" w:before="0"/>
        <w:ind w:left="118" w:right="235" w:firstLine="0"/>
        <w:jc w:val="left"/>
        <w:rPr>
          <w:sz w:val="24"/>
        </w:rPr>
      </w:pPr>
      <w:r>
        <w:rPr>
          <w:spacing w:val="-11"/>
          <w:sz w:val="24"/>
        </w:rPr>
        <w:t>《中华人民共和国政府信息公开条例》第十五条：行政机关应当将主动公开的政府信息， </w:t>
      </w:r>
      <w:r>
        <w:rPr>
          <w:spacing w:val="-6"/>
          <w:sz w:val="24"/>
        </w:rPr>
        <w:t>通过政府公报、政府网站、新闻发布会以及报刊、广播、电视等便于公众知晓的方式公开。</w:t>
      </w:r>
    </w:p>
    <w:p>
      <w:pPr>
        <w:spacing w:line="372" w:lineRule="auto" w:before="0"/>
        <w:ind w:left="118" w:right="242" w:firstLine="0"/>
        <w:jc w:val="left"/>
        <w:rPr>
          <w:sz w:val="24"/>
        </w:rPr>
      </w:pPr>
      <w:r>
        <w:rPr>
          <w:sz w:val="24"/>
        </w:rPr>
        <w:t>《山东省规章和规范性文件备案规定》第四条：规章和规范性文件应当通过政府公报、当地报刊、政府网站等媒体向社会公布。未经公布的，不得实施。</w:t>
      </w:r>
    </w:p>
    <w:p>
      <w:pPr>
        <w:spacing w:line="372" w:lineRule="auto" w:before="0"/>
        <w:ind w:left="118" w:right="242" w:firstLine="0"/>
        <w:jc w:val="left"/>
        <w:rPr>
          <w:sz w:val="24"/>
        </w:rPr>
      </w:pPr>
      <w:r>
        <w:rPr>
          <w:spacing w:val="-1"/>
          <w:sz w:val="24"/>
        </w:rPr>
        <w:t>《山东省行政程序规定》第五十条：制定规范性文件实行统一登记、统一编制登记号、</w:t>
      </w:r>
      <w:r>
        <w:rPr>
          <w:spacing w:val="-6"/>
          <w:sz w:val="24"/>
        </w:rPr>
        <w:t>统一公布制度。未经统一登记、统一编制登记号、统一公布的规范性文件无效，不得作为行政管理的依据。</w:t>
      </w:r>
    </w:p>
    <w:p>
      <w:pPr>
        <w:spacing w:after="0" w:line="372" w:lineRule="auto"/>
        <w:jc w:val="left"/>
        <w:rPr>
          <w:sz w:val="24"/>
        </w:rPr>
        <w:sectPr>
          <w:pgSz w:w="11900" w:h="16850"/>
          <w:pgMar w:top="1120" w:bottom="280" w:left="1300" w:right="1060"/>
        </w:sectPr>
      </w:pPr>
    </w:p>
    <w:p>
      <w:pPr>
        <w:pStyle w:val="Heading1"/>
        <w:tabs>
          <w:tab w:pos="881" w:val="left" w:leader="none"/>
        </w:tabs>
        <w:spacing w:line="722" w:lineRule="exact"/>
        <w:ind w:left="0" w:right="235"/>
      </w:pPr>
      <w:r>
        <w:rPr/>
        <w:t>目</w:t>
        <w:tab/>
        <w:t>录</w:t>
      </w:r>
    </w:p>
    <w:p>
      <w:pPr>
        <w:pStyle w:val="BodyText"/>
        <w:spacing w:before="3"/>
        <w:rPr>
          <w:rFonts w:ascii="方正小标宋简体"/>
          <w:sz w:val="27"/>
        </w:rPr>
      </w:pPr>
    </w:p>
    <w:p>
      <w:pPr>
        <w:spacing w:before="67"/>
        <w:ind w:left="118" w:right="0" w:firstLine="0"/>
        <w:jc w:val="left"/>
        <w:rPr>
          <w:rFonts w:ascii="黑体" w:eastAsia="黑体" w:hint="eastAsia"/>
          <w:sz w:val="24"/>
        </w:rPr>
      </w:pPr>
      <w:r>
        <w:rPr>
          <w:rFonts w:ascii="黑体" w:eastAsia="黑体" w:hint="eastAsia"/>
          <w:sz w:val="24"/>
        </w:rPr>
        <w:t>【县政府文件】</w:t>
      </w:r>
    </w:p>
    <w:p>
      <w:pPr>
        <w:pStyle w:val="BodyText"/>
        <w:spacing w:before="0"/>
        <w:rPr>
          <w:rFonts w:ascii="黑体"/>
          <w:sz w:val="24"/>
        </w:rPr>
      </w:pPr>
    </w:p>
    <w:p>
      <w:pPr>
        <w:pStyle w:val="BodyText"/>
        <w:spacing w:before="9"/>
        <w:rPr>
          <w:rFonts w:ascii="黑体"/>
          <w:sz w:val="35"/>
        </w:rPr>
      </w:pPr>
    </w:p>
    <w:p>
      <w:pPr>
        <w:spacing w:before="0"/>
        <w:ind w:left="118" w:right="0" w:firstLine="0"/>
        <w:jc w:val="left"/>
        <w:rPr>
          <w:sz w:val="24"/>
        </w:rPr>
      </w:pPr>
      <w:r>
        <w:rPr>
          <w:sz w:val="24"/>
        </w:rPr>
        <w:t>郯城县人民政府关于印发《郯城县推进县属经营性国有资产统一监管工作方案》的通知</w:t>
      </w:r>
    </w:p>
    <w:p>
      <w:pPr>
        <w:tabs>
          <w:tab w:pos="8877" w:val="left" w:leader="dot"/>
        </w:tabs>
        <w:spacing w:before="223"/>
        <w:ind w:left="118" w:right="0" w:firstLine="0"/>
        <w:jc w:val="left"/>
        <w:rPr>
          <w:sz w:val="24"/>
        </w:rPr>
      </w:pPr>
      <w:r>
        <w:rPr>
          <w:sz w:val="24"/>
        </w:rPr>
        <w:t>（郯政发〔2019〕2）</w:t>
        <w:tab/>
        <w:t>1</w:t>
      </w:r>
    </w:p>
    <w:p>
      <w:pPr>
        <w:spacing w:before="752"/>
        <w:ind w:left="118" w:right="0" w:firstLine="0"/>
        <w:jc w:val="left"/>
        <w:rPr>
          <w:rFonts w:ascii="黑体" w:eastAsia="黑体" w:hint="eastAsia"/>
          <w:sz w:val="24"/>
        </w:rPr>
      </w:pPr>
      <w:r>
        <w:rPr>
          <w:rFonts w:ascii="黑体" w:eastAsia="黑体" w:hint="eastAsia"/>
          <w:sz w:val="24"/>
        </w:rPr>
        <w:t>【县政府办公室文件】</w:t>
      </w:r>
    </w:p>
    <w:p>
      <w:pPr>
        <w:tabs>
          <w:tab w:pos="8880" w:val="left" w:leader="dot"/>
        </w:tabs>
        <w:spacing w:line="429" w:lineRule="auto" w:before="797"/>
        <w:ind w:left="118" w:right="112" w:firstLine="0"/>
        <w:jc w:val="left"/>
        <w:rPr>
          <w:sz w:val="24"/>
        </w:rPr>
      </w:pPr>
      <w:r>
        <w:rPr>
          <w:sz w:val="24"/>
        </w:rPr>
        <w:t>郯城县人民政府办公室关于印</w:t>
      </w:r>
      <w:r>
        <w:rPr>
          <w:spacing w:val="-120"/>
          <w:sz w:val="24"/>
        </w:rPr>
        <w:t>发</w:t>
      </w:r>
      <w:r>
        <w:rPr>
          <w:sz w:val="24"/>
        </w:rPr>
        <w:t>《2019</w:t>
      </w:r>
      <w:r>
        <w:rPr>
          <w:spacing w:val="-70"/>
          <w:sz w:val="24"/>
        </w:rPr>
        <w:t> </w:t>
      </w:r>
      <w:r>
        <w:rPr>
          <w:sz w:val="24"/>
        </w:rPr>
        <w:t>年全县城乡建设工作意见</w:t>
      </w:r>
      <w:r>
        <w:rPr>
          <w:spacing w:val="-120"/>
          <w:sz w:val="24"/>
        </w:rPr>
        <w:t>》</w:t>
      </w:r>
      <w:r>
        <w:rPr>
          <w:sz w:val="24"/>
        </w:rPr>
        <w:t>的通</w:t>
      </w:r>
      <w:r>
        <w:rPr>
          <w:spacing w:val="-120"/>
          <w:sz w:val="24"/>
        </w:rPr>
        <w:t>知</w:t>
      </w:r>
      <w:r>
        <w:rPr>
          <w:sz w:val="24"/>
        </w:rPr>
        <w:t>（郯政办</w:t>
      </w:r>
      <w:r>
        <w:rPr>
          <w:spacing w:val="-120"/>
          <w:sz w:val="24"/>
        </w:rPr>
        <w:t>字</w:t>
      </w:r>
      <w:r>
        <w:rPr>
          <w:sz w:val="24"/>
        </w:rPr>
        <w:t>〔2019</w:t>
      </w:r>
      <w:r>
        <w:rPr>
          <w:spacing w:val="-15"/>
          <w:sz w:val="24"/>
        </w:rPr>
        <w:t>〕</w:t>
      </w:r>
      <w:r>
        <w:rPr>
          <w:sz w:val="24"/>
        </w:rPr>
        <w:t>22</w:t>
      </w:r>
      <w:r>
        <w:rPr>
          <w:spacing w:val="-62"/>
          <w:sz w:val="24"/>
        </w:rPr>
        <w:t> </w:t>
      </w:r>
      <w:r>
        <w:rPr>
          <w:sz w:val="24"/>
        </w:rPr>
        <w:t>号）</w:t>
        <w:tab/>
        <w:t>7</w:t>
      </w:r>
    </w:p>
    <w:p>
      <w:pPr>
        <w:spacing w:line="303" w:lineRule="exact" w:before="0"/>
        <w:ind w:left="118" w:right="0" w:firstLine="0"/>
        <w:jc w:val="left"/>
        <w:rPr>
          <w:sz w:val="24"/>
        </w:rPr>
      </w:pPr>
      <w:r>
        <w:rPr>
          <w:spacing w:val="-19"/>
          <w:sz w:val="24"/>
        </w:rPr>
        <w:t>郯城县人民政府办公室关于印发《郯城县政务服务事项“一次办好”标准化指南</w:t>
      </w:r>
      <w:r>
        <w:rPr>
          <w:sz w:val="24"/>
        </w:rPr>
        <w:t>（试行</w:t>
      </w:r>
      <w:r>
        <w:rPr>
          <w:spacing w:val="-120"/>
          <w:sz w:val="24"/>
        </w:rPr>
        <w:t>）</w:t>
      </w:r>
      <w:r>
        <w:rPr>
          <w:sz w:val="24"/>
        </w:rPr>
        <w:t>》</w:t>
      </w:r>
    </w:p>
    <w:p>
      <w:pPr>
        <w:tabs>
          <w:tab w:pos="8793" w:val="left" w:leader="dot"/>
        </w:tabs>
        <w:spacing w:before="226"/>
        <w:ind w:left="118" w:right="0" w:firstLine="0"/>
        <w:jc w:val="left"/>
        <w:rPr>
          <w:sz w:val="24"/>
        </w:rPr>
      </w:pPr>
      <w:r>
        <w:rPr>
          <w:sz w:val="24"/>
        </w:rPr>
        <w:t>的通知（郯政办字〔2019〕23</w:t>
      </w:r>
      <w:r>
        <w:rPr>
          <w:spacing w:val="-61"/>
          <w:sz w:val="24"/>
        </w:rPr>
        <w:t> </w:t>
      </w:r>
      <w:r>
        <w:rPr>
          <w:sz w:val="24"/>
        </w:rPr>
        <w:t>号）</w:t>
        <w:tab/>
        <w:t>16</w:t>
      </w:r>
    </w:p>
    <w:p>
      <w:pPr>
        <w:spacing w:line="372" w:lineRule="auto" w:before="190"/>
        <w:ind w:left="118" w:right="287" w:firstLine="0"/>
        <w:jc w:val="left"/>
        <w:rPr>
          <w:sz w:val="24"/>
        </w:rPr>
      </w:pPr>
      <w:r>
        <w:rPr>
          <w:sz w:val="24"/>
        </w:rPr>
        <w:t>郯城县人民政府办公室关于印发《郯城县全面推行行政执法公示制度执法全过程记录制度重大执法决定法制审核制度实施方案》的通知（郯政办字〔2019〕27 号）</w:t>
      </w:r>
    </w:p>
    <w:p>
      <w:pPr>
        <w:spacing w:before="64"/>
        <w:ind w:left="118" w:right="0" w:firstLine="0"/>
        <w:jc w:val="left"/>
        <w:rPr>
          <w:sz w:val="24"/>
        </w:rPr>
      </w:pPr>
      <w:r>
        <w:rPr>
          <w:rFonts w:ascii="Calibri" w:hAnsi="Calibri"/>
          <w:sz w:val="24"/>
        </w:rPr>
        <w:t>…………………………………………………………………………………………………………………………………………</w:t>
      </w:r>
      <w:r>
        <w:rPr>
          <w:sz w:val="24"/>
        </w:rPr>
        <w:t>..39</w:t>
      </w:r>
    </w:p>
    <w:p>
      <w:pPr>
        <w:spacing w:after="0"/>
        <w:jc w:val="left"/>
        <w:rPr>
          <w:sz w:val="24"/>
        </w:rPr>
        <w:sectPr>
          <w:pgSz w:w="11900" w:h="16850"/>
          <w:pgMar w:top="1080" w:bottom="280" w:left="1300" w:right="1060"/>
        </w:sectPr>
      </w:pPr>
    </w:p>
    <w:p>
      <w:pPr>
        <w:pStyle w:val="Heading1"/>
        <w:spacing w:line="669" w:lineRule="exact" w:before="141"/>
        <w:ind w:right="830"/>
      </w:pPr>
      <w:r>
        <w:rPr/>
        <w:t>郯城县人民政府</w:t>
      </w:r>
    </w:p>
    <w:p>
      <w:pPr>
        <w:spacing w:line="172" w:lineRule="auto" w:before="37"/>
        <w:ind w:left="510" w:right="836" w:firstLine="0"/>
        <w:jc w:val="center"/>
        <w:rPr>
          <w:rFonts w:ascii="方正小标宋简体" w:eastAsia="方正小标宋简体" w:hint="eastAsia"/>
          <w:sz w:val="44"/>
        </w:rPr>
      </w:pPr>
      <w:r>
        <w:rPr>
          <w:rFonts w:ascii="方正小标宋简体" w:eastAsia="方正小标宋简体" w:hint="eastAsia"/>
          <w:sz w:val="44"/>
        </w:rPr>
        <w:t>关于印发郯城县推进县属经营性国有资产统一监管工作方案的通知</w:t>
      </w:r>
    </w:p>
    <w:p>
      <w:pPr>
        <w:pStyle w:val="BodyText"/>
        <w:spacing w:before="14"/>
        <w:rPr>
          <w:rFonts w:ascii="方正小标宋简体"/>
          <w:sz w:val="34"/>
        </w:rPr>
      </w:pPr>
    </w:p>
    <w:p>
      <w:pPr>
        <w:pStyle w:val="BodyText"/>
        <w:spacing w:before="0"/>
        <w:ind w:left="510" w:right="828"/>
        <w:jc w:val="center"/>
        <w:rPr>
          <w:rFonts w:ascii="楷体_GB2312" w:eastAsia="楷体_GB2312" w:hint="eastAsia"/>
        </w:rPr>
      </w:pPr>
      <w:r>
        <w:rPr>
          <w:rFonts w:ascii="楷体_GB2312" w:eastAsia="楷体_GB2312" w:hint="eastAsia"/>
        </w:rPr>
        <w:t>郯政发〔2019〕2 号</w:t>
      </w:r>
    </w:p>
    <w:p>
      <w:pPr>
        <w:pStyle w:val="BodyText"/>
        <w:spacing w:before="0"/>
        <w:rPr>
          <w:rFonts w:ascii="楷体_GB2312"/>
        </w:rPr>
      </w:pPr>
    </w:p>
    <w:p>
      <w:pPr>
        <w:pStyle w:val="BodyText"/>
        <w:spacing w:before="6"/>
        <w:rPr>
          <w:rFonts w:ascii="楷体_GB2312"/>
          <w:sz w:val="23"/>
        </w:rPr>
      </w:pPr>
    </w:p>
    <w:p>
      <w:pPr>
        <w:pStyle w:val="BodyText"/>
        <w:spacing w:line="300" w:lineRule="auto" w:before="1"/>
        <w:ind w:left="106" w:right="425"/>
        <w:jc w:val="both"/>
      </w:pPr>
      <w:r>
        <w:rPr>
          <w:spacing w:val="-4"/>
          <w:w w:val="99"/>
        </w:rPr>
        <w:t>各乡镇</w:t>
      </w:r>
      <w:r>
        <w:rPr>
          <w:w w:val="99"/>
        </w:rPr>
        <w:t>（</w:t>
      </w:r>
      <w:r>
        <w:rPr>
          <w:spacing w:val="1"/>
          <w:w w:val="99"/>
        </w:rPr>
        <w:t>街道</w:t>
      </w:r>
      <w:r>
        <w:rPr>
          <w:spacing w:val="-15"/>
          <w:w w:val="99"/>
        </w:rPr>
        <w:t>）</w:t>
      </w:r>
      <w:r>
        <w:rPr>
          <w:spacing w:val="-7"/>
          <w:w w:val="99"/>
        </w:rPr>
        <w:t>政府</w:t>
      </w:r>
      <w:r>
        <w:rPr>
          <w:spacing w:val="2"/>
          <w:w w:val="99"/>
        </w:rPr>
        <w:t>（</w:t>
      </w:r>
      <w:r>
        <w:rPr>
          <w:w w:val="99"/>
        </w:rPr>
        <w:t>办事处</w:t>
      </w:r>
      <w:r>
        <w:rPr>
          <w:spacing w:val="-159"/>
          <w:w w:val="99"/>
        </w:rPr>
        <w:t>）</w:t>
      </w:r>
      <w:r>
        <w:rPr>
          <w:spacing w:val="-6"/>
          <w:w w:val="99"/>
        </w:rPr>
        <w:t>，县政府各部门，科级以上事业</w:t>
      </w:r>
      <w:r>
        <w:rPr/>
        <w:t>单位，省、市直驻郯各单位，郯城经济开发区管委会，马陵山景区管委会，新村银杏产业开发区管委会，各县属国有企业：</w:t>
      </w:r>
    </w:p>
    <w:p>
      <w:pPr>
        <w:pStyle w:val="BodyText"/>
        <w:spacing w:line="300" w:lineRule="auto"/>
        <w:ind w:left="106" w:right="521" w:firstLine="640"/>
      </w:pPr>
      <w:r>
        <w:rPr/>
        <w:t>《郯城县推进县属经营性国有资产统一监管工作方案》已经县政府研究同意，现印发给你们，请认真组织实施。</w:t>
      </w:r>
    </w:p>
    <w:p>
      <w:pPr>
        <w:pStyle w:val="BodyText"/>
        <w:spacing w:before="0"/>
        <w:rPr>
          <w:sz w:val="36"/>
        </w:rPr>
      </w:pPr>
    </w:p>
    <w:p>
      <w:pPr>
        <w:pStyle w:val="BodyText"/>
        <w:spacing w:before="10"/>
        <w:rPr>
          <w:sz w:val="40"/>
        </w:rPr>
      </w:pPr>
    </w:p>
    <w:p>
      <w:pPr>
        <w:pStyle w:val="BodyText"/>
        <w:spacing w:line="300" w:lineRule="auto" w:before="0"/>
        <w:ind w:left="5227" w:right="1798"/>
      </w:pPr>
      <w:r>
        <w:rPr>
          <w:spacing w:val="-3"/>
        </w:rPr>
        <w:t>郯城县人民政府</w:t>
      </w:r>
      <w:r>
        <w:rPr/>
        <w:t>2019</w:t>
      </w:r>
      <w:r>
        <w:rPr>
          <w:spacing w:val="-54"/>
        </w:rPr>
        <w:t> 年 </w:t>
      </w:r>
      <w:r>
        <w:rPr/>
        <w:t>4</w:t>
      </w:r>
      <w:r>
        <w:rPr>
          <w:spacing w:val="-54"/>
        </w:rPr>
        <w:t> 月 </w:t>
      </w:r>
      <w:r>
        <w:rPr/>
        <w:t>9</w:t>
      </w:r>
      <w:r>
        <w:rPr>
          <w:spacing w:val="-41"/>
        </w:rPr>
        <w:t> 日</w:t>
      </w:r>
    </w:p>
    <w:p>
      <w:pPr>
        <w:pStyle w:val="BodyText"/>
        <w:spacing w:before="0"/>
        <w:rPr>
          <w:sz w:val="36"/>
        </w:rPr>
      </w:pPr>
    </w:p>
    <w:p>
      <w:pPr>
        <w:pStyle w:val="BodyText"/>
        <w:spacing w:before="6"/>
        <w:rPr>
          <w:sz w:val="43"/>
        </w:rPr>
      </w:pPr>
    </w:p>
    <w:p>
      <w:pPr>
        <w:pStyle w:val="Heading1"/>
        <w:spacing w:line="172" w:lineRule="auto"/>
        <w:ind w:right="836"/>
      </w:pPr>
      <w:r>
        <w:rPr/>
        <w:t>郯城县推进县属经营性国有资产统一监管工作方案</w:t>
      </w:r>
    </w:p>
    <w:p>
      <w:pPr>
        <w:pStyle w:val="BodyText"/>
        <w:spacing w:before="15"/>
        <w:rPr>
          <w:rFonts w:ascii="方正小标宋简体"/>
          <w:sz w:val="34"/>
        </w:rPr>
      </w:pPr>
    </w:p>
    <w:p>
      <w:pPr>
        <w:pStyle w:val="BodyText"/>
        <w:spacing w:line="300" w:lineRule="auto" w:before="0"/>
        <w:ind w:left="106" w:right="416" w:firstLine="640"/>
        <w:jc w:val="both"/>
      </w:pPr>
      <w:r>
        <w:rPr>
          <w:spacing w:val="4"/>
          <w:w w:val="95"/>
        </w:rPr>
        <w:t>为进一步推进政企分开、政资分开，完善国有资产管理体 </w:t>
      </w:r>
      <w:r>
        <w:rPr/>
        <w:t>制，优化国有经济布局结构，提高国有资产配置效率，促进国有资产保值增值，根据《中共山东省委山东省人民政府关于加</w:t>
      </w:r>
    </w:p>
    <w:p>
      <w:pPr>
        <w:spacing w:after="0" w:line="300" w:lineRule="auto"/>
        <w:jc w:val="both"/>
        <w:sectPr>
          <w:footerReference w:type="default" r:id="rId6"/>
          <w:pgSz w:w="11910" w:h="16840"/>
          <w:pgMar w:footer="1355" w:header="0" w:top="1580" w:bottom="1540" w:left="1480" w:right="1160"/>
          <w:pgNumType w:start="1"/>
        </w:sectPr>
      </w:pPr>
    </w:p>
    <w:p>
      <w:pPr>
        <w:pStyle w:val="BodyText"/>
        <w:spacing w:before="10"/>
        <w:rPr>
          <w:sz w:val="21"/>
        </w:rPr>
      </w:pPr>
    </w:p>
    <w:p>
      <w:pPr>
        <w:pStyle w:val="BodyText"/>
        <w:spacing w:line="300" w:lineRule="auto" w:before="41"/>
        <w:ind w:left="106" w:right="425"/>
        <w:jc w:val="both"/>
      </w:pPr>
      <w:r>
        <w:rPr>
          <w:spacing w:val="-12"/>
        </w:rPr>
        <w:t>快推动国有企业改革的十条意见》</w:t>
      </w:r>
      <w:r>
        <w:rPr/>
        <w:t>（</w:t>
      </w:r>
      <w:r>
        <w:rPr>
          <w:spacing w:val="-4"/>
        </w:rPr>
        <w:t>鲁发〔</w:t>
      </w:r>
      <w:r>
        <w:rPr/>
        <w:t>2017</w:t>
      </w:r>
      <w:r>
        <w:rPr>
          <w:spacing w:val="-8"/>
        </w:rPr>
        <w:t>〕</w:t>
      </w:r>
      <w:r>
        <w:rPr/>
        <w:t>17</w:t>
      </w:r>
      <w:r>
        <w:rPr>
          <w:spacing w:val="-45"/>
        </w:rPr>
        <w:t> 号</w:t>
      </w:r>
      <w:r>
        <w:rPr>
          <w:spacing w:val="-159"/>
        </w:rPr>
        <w:t>）</w:t>
      </w:r>
      <w:r>
        <w:rPr>
          <w:spacing w:val="-44"/>
        </w:rPr>
        <w:t>、《中共</w:t>
      </w:r>
      <w:r>
        <w:rPr/>
        <w:t>临沂市委临沂市人民政府关于深化市属国有企业改革完善国有</w:t>
      </w:r>
      <w:r>
        <w:rPr>
          <w:spacing w:val="-17"/>
        </w:rPr>
        <w:t>资产管理体制的意见》</w:t>
      </w:r>
      <w:r>
        <w:rPr/>
        <w:t>（</w:t>
      </w:r>
      <w:r>
        <w:rPr>
          <w:spacing w:val="-2"/>
        </w:rPr>
        <w:t>临发〔</w:t>
      </w:r>
      <w:r>
        <w:rPr/>
        <w:t>2016</w:t>
      </w:r>
      <w:r>
        <w:rPr>
          <w:spacing w:val="-5"/>
        </w:rPr>
        <w:t>〕</w:t>
      </w:r>
      <w:r>
        <w:rPr/>
        <w:t>16</w:t>
      </w:r>
      <w:r>
        <w:rPr>
          <w:spacing w:val="-47"/>
        </w:rPr>
        <w:t> 号</w:t>
      </w:r>
      <w:r>
        <w:rPr>
          <w:spacing w:val="-5"/>
        </w:rPr>
        <w:t>）</w:t>
      </w:r>
      <w:r>
        <w:rPr>
          <w:spacing w:val="-3"/>
        </w:rPr>
        <w:t>及《临沂市人民政府推进市属经营性国有资产统一监管工作方案的通知</w:t>
      </w:r>
      <w:r>
        <w:rPr>
          <w:spacing w:val="-228"/>
        </w:rPr>
        <w:t>》</w:t>
      </w:r>
      <w:r>
        <w:rPr/>
        <w:t>（</w:t>
      </w:r>
      <w:r>
        <w:rPr>
          <w:spacing w:val="-4"/>
        </w:rPr>
        <w:t>临政发</w:t>
      </w:r>
    </w:p>
    <w:p>
      <w:pPr>
        <w:pStyle w:val="BodyText"/>
        <w:spacing w:line="300" w:lineRule="auto"/>
        <w:ind w:left="106" w:right="425"/>
        <w:jc w:val="both"/>
      </w:pPr>
      <w:r>
        <w:rPr>
          <w:spacing w:val="2"/>
          <w:w w:val="99"/>
        </w:rPr>
        <w:t>〔</w:t>
      </w:r>
      <w:r>
        <w:rPr>
          <w:w w:val="99"/>
        </w:rPr>
        <w:t>201</w:t>
      </w:r>
      <w:r>
        <w:rPr>
          <w:spacing w:val="-1"/>
          <w:w w:val="99"/>
        </w:rPr>
        <w:t>8</w:t>
      </w:r>
      <w:r>
        <w:rPr>
          <w:spacing w:val="2"/>
          <w:w w:val="99"/>
        </w:rPr>
        <w:t>〕</w:t>
      </w:r>
      <w:r>
        <w:rPr>
          <w:w w:val="99"/>
        </w:rPr>
        <w:t>9</w:t>
      </w:r>
      <w:r>
        <w:rPr/>
        <w:t> </w:t>
      </w:r>
      <w:r>
        <w:rPr>
          <w:w w:val="99"/>
        </w:rPr>
        <w:t>号</w:t>
      </w:r>
      <w:r>
        <w:rPr>
          <w:spacing w:val="-157"/>
          <w:w w:val="99"/>
        </w:rPr>
        <w:t>）</w:t>
      </w:r>
      <w:r>
        <w:rPr>
          <w:spacing w:val="-1"/>
          <w:w w:val="99"/>
        </w:rPr>
        <w:t>，现就推进县属经营性国有资产统一监管工作制</w:t>
      </w:r>
      <w:r>
        <w:rPr/>
        <w:t>定如下方案。</w:t>
      </w:r>
    </w:p>
    <w:p>
      <w:pPr>
        <w:pStyle w:val="BodyText"/>
        <w:ind w:left="747"/>
        <w:rPr>
          <w:rFonts w:ascii="黑体" w:eastAsia="黑体" w:hint="eastAsia"/>
        </w:rPr>
      </w:pPr>
      <w:r>
        <w:rPr>
          <w:rFonts w:ascii="黑体" w:eastAsia="黑体" w:hint="eastAsia"/>
        </w:rPr>
        <w:t>一、基本原则</w:t>
      </w:r>
    </w:p>
    <w:p>
      <w:pPr>
        <w:pStyle w:val="BodyText"/>
        <w:spacing w:line="300" w:lineRule="auto" w:before="150"/>
        <w:ind w:left="106" w:right="415" w:firstLine="640"/>
        <w:jc w:val="both"/>
      </w:pPr>
      <w:r>
        <w:rPr>
          <w:rFonts w:ascii="楷体" w:eastAsia="楷体" w:hint="eastAsia"/>
          <w:spacing w:val="4"/>
          <w:w w:val="95"/>
        </w:rPr>
        <w:t>（一）政企分开、政资分开。</w:t>
      </w:r>
      <w:r>
        <w:rPr>
          <w:spacing w:val="4"/>
          <w:w w:val="95"/>
        </w:rPr>
        <w:t>坚持政企分开、社会公共管 </w:t>
      </w:r>
      <w:r>
        <w:rPr/>
        <w:t>理职能与国有资产出资人职能分开，除县国有资产管理服务中</w:t>
      </w:r>
      <w:r>
        <w:rPr>
          <w:spacing w:val="4"/>
        </w:rPr>
        <w:t>心（</w:t>
      </w:r>
      <w:r>
        <w:rPr>
          <w:spacing w:val="3"/>
        </w:rPr>
        <w:t>以下简称县国资中心</w:t>
      </w:r>
      <w:r>
        <w:rPr>
          <w:spacing w:val="4"/>
        </w:rPr>
        <w:t>）</w:t>
      </w:r>
      <w:r>
        <w:rPr/>
        <w:t>外，其他县直党政机关、群团组织</w:t>
      </w:r>
      <w:r>
        <w:rPr>
          <w:spacing w:val="4"/>
        </w:rPr>
        <w:t>和事业单位（</w:t>
      </w:r>
      <w:r>
        <w:rPr>
          <w:spacing w:val="1"/>
        </w:rPr>
        <w:t>以下统称县直单位</w:t>
      </w:r>
      <w:r>
        <w:rPr>
          <w:spacing w:val="4"/>
        </w:rPr>
        <w:t>）</w:t>
      </w:r>
      <w:r>
        <w:rPr>
          <w:spacing w:val="1"/>
        </w:rPr>
        <w:t>不再履行企业国有资产出资人职责，不再以各种名义投资设立经营性企业和经济实体。</w:t>
      </w:r>
    </w:p>
    <w:p>
      <w:pPr>
        <w:pStyle w:val="BodyText"/>
        <w:spacing w:line="300" w:lineRule="auto" w:before="4"/>
        <w:ind w:left="106" w:right="415" w:firstLine="640"/>
        <w:jc w:val="both"/>
      </w:pPr>
      <w:r>
        <w:rPr>
          <w:rFonts w:ascii="楷体" w:eastAsia="楷体" w:hint="eastAsia"/>
          <w:spacing w:val="4"/>
          <w:w w:val="95"/>
        </w:rPr>
        <w:t>（二）集中整合、优化配置。</w:t>
      </w:r>
      <w:r>
        <w:rPr>
          <w:spacing w:val="4"/>
          <w:w w:val="95"/>
        </w:rPr>
        <w:t>按照产业相关、业务协同、 </w:t>
      </w:r>
      <w:r>
        <w:rPr/>
        <w:t>优势互补的原则，深入推进县属经营性国有资产重组整合、改革改制，增强国有资产保值增值能力。</w:t>
      </w:r>
    </w:p>
    <w:p>
      <w:pPr>
        <w:pStyle w:val="BodyText"/>
        <w:spacing w:line="300" w:lineRule="auto"/>
        <w:ind w:left="106" w:right="415" w:firstLine="640"/>
      </w:pPr>
      <w:r>
        <w:rPr>
          <w:rFonts w:ascii="楷体" w:eastAsia="楷体" w:hint="eastAsia"/>
          <w:spacing w:val="4"/>
          <w:w w:val="95"/>
        </w:rPr>
        <w:t>（三）积极稳妥、有序实施。</w:t>
      </w:r>
      <w:r>
        <w:rPr>
          <w:spacing w:val="4"/>
          <w:w w:val="95"/>
        </w:rPr>
        <w:t>坚持稳中求进，合理把握工 </w:t>
      </w:r>
      <w:r>
        <w:rPr/>
        <w:t>作进度，妥善处理改革、发展、稳定的关系。</w:t>
      </w:r>
    </w:p>
    <w:p>
      <w:pPr>
        <w:pStyle w:val="BodyText"/>
        <w:spacing w:line="300" w:lineRule="auto" w:before="0"/>
        <w:ind w:left="106" w:right="415" w:firstLine="640"/>
        <w:jc w:val="both"/>
      </w:pPr>
      <w:r>
        <w:rPr>
          <w:rFonts w:ascii="楷体" w:eastAsia="楷体" w:hint="eastAsia"/>
          <w:spacing w:val="4"/>
          <w:w w:val="95"/>
        </w:rPr>
        <w:t>（四）依法操作、公开透明。</w:t>
      </w:r>
      <w:r>
        <w:rPr>
          <w:spacing w:val="4"/>
          <w:w w:val="95"/>
        </w:rPr>
        <w:t>坚持公开透明，严肃工作纪 </w:t>
      </w:r>
      <w:r>
        <w:rPr/>
        <w:t>律，规范运作程序，严防国有资产流失，依法维护相关各方合法权益。</w:t>
      </w:r>
    </w:p>
    <w:p>
      <w:pPr>
        <w:pStyle w:val="BodyText"/>
        <w:ind w:left="747"/>
        <w:rPr>
          <w:rFonts w:ascii="黑体" w:eastAsia="黑体" w:hint="eastAsia"/>
        </w:rPr>
      </w:pPr>
      <w:r>
        <w:rPr>
          <w:rFonts w:ascii="黑体" w:eastAsia="黑体" w:hint="eastAsia"/>
        </w:rPr>
        <w:t>二、实施范围及监管方式</w:t>
      </w:r>
    </w:p>
    <w:p>
      <w:pPr>
        <w:pStyle w:val="BodyText"/>
        <w:spacing w:line="300" w:lineRule="auto" w:before="152"/>
        <w:ind w:left="106" w:right="416" w:firstLine="640"/>
      </w:pPr>
      <w:r>
        <w:rPr>
          <w:spacing w:val="4"/>
          <w:w w:val="95"/>
        </w:rPr>
        <w:t>本方案提出的统一监管实施范围是指县国资中心尚未履行 </w:t>
      </w:r>
      <w:r>
        <w:rPr/>
        <w:t>出资人职责的县属企业国有资产，具体包括县直单位对国有独</w:t>
      </w:r>
    </w:p>
    <w:p>
      <w:pPr>
        <w:spacing w:after="0" w:line="300" w:lineRule="auto"/>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31"/>
      </w:pPr>
      <w:r>
        <w:rPr>
          <w:w w:val="95"/>
        </w:rPr>
        <w:t>资企业、国有独资公司、国有资本控股公司、国有资本参股公 </w:t>
      </w:r>
      <w:r>
        <w:rPr/>
        <w:t>司等各类国家出资企业以各种形式出资所形成的权益。其中：</w:t>
      </w:r>
    </w:p>
    <w:p>
      <w:pPr>
        <w:pStyle w:val="BodyText"/>
        <w:spacing w:line="300" w:lineRule="auto" w:before="0"/>
        <w:ind w:left="106" w:right="416" w:firstLine="640"/>
        <w:jc w:val="both"/>
      </w:pPr>
      <w:r>
        <w:rPr>
          <w:spacing w:val="4"/>
          <w:w w:val="95"/>
        </w:rPr>
        <w:t>（一）对资产规模较大、资产质量较好、市场竞争力较强 </w:t>
      </w:r>
      <w:r>
        <w:rPr/>
        <w:t>的县属企业，以其为主体进行重组整合组建企业集团或投资运营平台，国有产权划归县国资中心持有。</w:t>
      </w:r>
    </w:p>
    <w:p>
      <w:pPr>
        <w:pStyle w:val="BodyText"/>
        <w:spacing w:line="300" w:lineRule="auto"/>
        <w:ind w:left="106" w:right="416" w:firstLine="640"/>
        <w:jc w:val="both"/>
      </w:pPr>
      <w:r>
        <w:rPr>
          <w:spacing w:val="4"/>
          <w:w w:val="95"/>
        </w:rPr>
        <w:t>（二）对具有一定资产和经营能力的县属企业，按照产业 </w:t>
      </w:r>
      <w:r>
        <w:rPr/>
        <w:t>相近、业务相关、优势互补的原则，国有产权划入县管一级企业，由县管一级企业进行重组整合、资本运营或产权转让。</w:t>
      </w:r>
    </w:p>
    <w:p>
      <w:pPr>
        <w:pStyle w:val="BodyText"/>
        <w:spacing w:line="300" w:lineRule="auto"/>
        <w:ind w:left="106" w:right="416" w:firstLine="640"/>
        <w:jc w:val="both"/>
      </w:pPr>
      <w:r>
        <w:rPr>
          <w:spacing w:val="4"/>
          <w:w w:val="95"/>
        </w:rPr>
        <w:t>（三）对严重资不抵债、停产停业、不具备正常经营条件 </w:t>
      </w:r>
      <w:r>
        <w:rPr/>
        <w:t>的企业，国有产权暂缓划转，由县国资中心会同有关县直单位分析汇总后另行提出处理意见，报县政府研究。</w:t>
      </w:r>
    </w:p>
    <w:p>
      <w:pPr>
        <w:pStyle w:val="BodyText"/>
        <w:ind w:left="747"/>
        <w:rPr>
          <w:rFonts w:ascii="黑体" w:eastAsia="黑体" w:hint="eastAsia"/>
        </w:rPr>
      </w:pPr>
      <w:r>
        <w:rPr>
          <w:rFonts w:ascii="黑体" w:eastAsia="黑体" w:hint="eastAsia"/>
        </w:rPr>
        <w:t>三、工作步骤</w:t>
      </w:r>
    </w:p>
    <w:p>
      <w:pPr>
        <w:pStyle w:val="BodyText"/>
        <w:spacing w:line="300" w:lineRule="auto" w:before="152"/>
        <w:ind w:left="106" w:right="423" w:firstLine="640"/>
        <w:jc w:val="both"/>
      </w:pPr>
      <w:r>
        <w:rPr/>
        <w:t>（一</w:t>
      </w:r>
      <w:r>
        <w:rPr>
          <w:spacing w:val="-24"/>
        </w:rPr>
        <w:t>）</w:t>
      </w:r>
      <w:r>
        <w:rPr>
          <w:spacing w:val="-4"/>
        </w:rPr>
        <w:t>进行动员部署</w:t>
      </w:r>
      <w:r>
        <w:rPr/>
        <w:t>（2019</w:t>
      </w:r>
      <w:r>
        <w:rPr>
          <w:spacing w:val="-54"/>
        </w:rPr>
        <w:t> 年 </w:t>
      </w:r>
      <w:r>
        <w:rPr/>
        <w:t>4</w:t>
      </w:r>
      <w:r>
        <w:rPr>
          <w:spacing w:val="-21"/>
        </w:rPr>
        <w:t> 月上旬</w:t>
      </w:r>
      <w:r>
        <w:rPr>
          <w:spacing w:val="-161"/>
        </w:rPr>
        <w:t>）</w:t>
      </w:r>
      <w:r>
        <w:rPr>
          <w:spacing w:val="-6"/>
        </w:rPr>
        <w:t>。县政府成立领导</w:t>
      </w:r>
      <w:r>
        <w:rPr/>
        <w:t>小组，制定实施方案，召开动员会议，安排部署开展县属经营性国有资产统一监管工作。</w:t>
      </w:r>
    </w:p>
    <w:p>
      <w:pPr>
        <w:pStyle w:val="BodyText"/>
        <w:spacing w:line="300" w:lineRule="auto"/>
        <w:ind w:left="106" w:right="425" w:firstLine="640"/>
        <w:jc w:val="both"/>
      </w:pPr>
      <w:r>
        <w:rPr/>
        <w:t>（二）开展尽职调查（2019</w:t>
      </w:r>
      <w:r>
        <w:rPr>
          <w:spacing w:val="-46"/>
        </w:rPr>
        <w:t> 年 </w:t>
      </w:r>
      <w:r>
        <w:rPr/>
        <w:t>4</w:t>
      </w:r>
      <w:r>
        <w:rPr>
          <w:spacing w:val="-19"/>
        </w:rPr>
        <w:t> 月上旬</w:t>
      </w:r>
      <w:r>
        <w:rPr>
          <w:rFonts w:ascii="Calibri" w:hAnsi="Calibri" w:eastAsia="Calibri"/>
        </w:rPr>
        <w:t>—</w:t>
      </w:r>
      <w:r>
        <w:rPr/>
        <w:t>7</w:t>
      </w:r>
      <w:r>
        <w:rPr>
          <w:spacing w:val="-24"/>
        </w:rPr>
        <w:t> 月底</w:t>
      </w:r>
      <w:r>
        <w:rPr>
          <w:spacing w:val="-161"/>
        </w:rPr>
        <w:t>）</w:t>
      </w:r>
      <w:r>
        <w:rPr>
          <w:spacing w:val="-3"/>
        </w:rPr>
        <w:t>。本方案</w:t>
      </w:r>
      <w:r>
        <w:rPr>
          <w:spacing w:val="-21"/>
        </w:rPr>
        <w:t>下发后 </w:t>
      </w:r>
      <w:r>
        <w:rPr/>
        <w:t>10</w:t>
      </w:r>
      <w:r>
        <w:rPr>
          <w:spacing w:val="-12"/>
        </w:rPr>
        <w:t> 日内，县直单位将所属企业基本情况及工作联系人信</w:t>
      </w:r>
      <w:r>
        <w:rPr/>
        <w:t>息报县国资中心汇总。由县国资中心牵头，各县直单位配合， 组织中介机构和有关力量，对拟纳入统一监管范围的县属企业逐户开展尽职调查，认真核查企业资产状况、经营情况和人员数量等，逐户形成尽职调查报告。</w:t>
      </w:r>
    </w:p>
    <w:p>
      <w:pPr>
        <w:pStyle w:val="BodyText"/>
        <w:spacing w:line="300" w:lineRule="auto" w:before="4"/>
        <w:ind w:left="106" w:right="423" w:firstLine="640"/>
        <w:jc w:val="both"/>
      </w:pPr>
      <w:r>
        <w:rPr/>
        <w:t>（三）制定实施计划（2019</w:t>
      </w:r>
      <w:r>
        <w:rPr>
          <w:spacing w:val="-44"/>
        </w:rPr>
        <w:t> 年 </w:t>
      </w:r>
      <w:r>
        <w:rPr/>
        <w:t>8</w:t>
      </w:r>
      <w:r>
        <w:rPr>
          <w:spacing w:val="-35"/>
        </w:rPr>
        <w:t> 月</w:t>
      </w:r>
      <w:r>
        <w:rPr>
          <w:rFonts w:ascii="Calibri" w:hAnsi="Calibri" w:eastAsia="Calibri"/>
        </w:rPr>
        <w:t>—</w:t>
      </w:r>
      <w:r>
        <w:rPr/>
        <w:t>9</w:t>
      </w:r>
      <w:r>
        <w:rPr>
          <w:spacing w:val="-22"/>
        </w:rPr>
        <w:t> 月底</w:t>
      </w:r>
      <w:r>
        <w:rPr>
          <w:spacing w:val="-161"/>
        </w:rPr>
        <w:t>）</w:t>
      </w:r>
      <w:r>
        <w:rPr>
          <w:spacing w:val="-2"/>
        </w:rPr>
        <w:t>。县国资中心根据县属国有经济布局结构调整方向，按照</w:t>
      </w:r>
      <w:r>
        <w:rPr>
          <w:rFonts w:ascii="Calibri" w:hAnsi="Calibri" w:eastAsia="Calibri"/>
        </w:rPr>
        <w:t>“</w:t>
      </w:r>
      <w:r>
        <w:rPr>
          <w:spacing w:val="-4"/>
        </w:rPr>
        <w:t>发展壮大一批、整</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3"/>
        <w:jc w:val="both"/>
      </w:pPr>
      <w:r>
        <w:rPr>
          <w:spacing w:val="-4"/>
        </w:rPr>
        <w:t>合重组一批、改制退出一批、破产清算一批</w:t>
      </w:r>
      <w:r>
        <w:rPr>
          <w:rFonts w:ascii="Calibri" w:hAnsi="Calibri" w:eastAsia="Calibri"/>
        </w:rPr>
        <w:t>”</w:t>
      </w:r>
      <w:r>
        <w:rPr>
          <w:spacing w:val="-5"/>
        </w:rPr>
        <w:t>的思路，结合尽职</w:t>
      </w:r>
      <w:r>
        <w:rPr/>
        <w:t>调查和企业实际情况，区分不同监管方式，列出分类监管企业名单，逐户提出改革重组意见，报县政府批准。</w:t>
      </w:r>
    </w:p>
    <w:p>
      <w:pPr>
        <w:pStyle w:val="BodyText"/>
        <w:spacing w:line="300" w:lineRule="auto"/>
        <w:ind w:left="106" w:right="425" w:firstLine="640"/>
        <w:jc w:val="both"/>
      </w:pPr>
      <w:r>
        <w:rPr/>
        <w:t>（四）推进改革重组（2019</w:t>
      </w:r>
      <w:r>
        <w:rPr>
          <w:spacing w:val="-31"/>
        </w:rPr>
        <w:t> 年 </w:t>
      </w:r>
      <w:r>
        <w:rPr/>
        <w:t>10</w:t>
      </w:r>
      <w:r>
        <w:rPr>
          <w:spacing w:val="-23"/>
        </w:rPr>
        <w:t> 月</w:t>
      </w:r>
      <w:r>
        <w:rPr>
          <w:rFonts w:ascii="Calibri" w:hAnsi="Calibri" w:eastAsia="Calibri"/>
        </w:rPr>
        <w:t>—</w:t>
      </w:r>
      <w:r>
        <w:rPr/>
        <w:t>11</w:t>
      </w:r>
      <w:r>
        <w:rPr>
          <w:spacing w:val="-16"/>
        </w:rPr>
        <w:t> 月底</w:t>
      </w:r>
      <w:r>
        <w:rPr>
          <w:spacing w:val="-159"/>
        </w:rPr>
        <w:t>）</w:t>
      </w:r>
      <w:r>
        <w:rPr>
          <w:spacing w:val="-3"/>
        </w:rPr>
        <w:t>。分类改革</w:t>
      </w:r>
      <w:r>
        <w:rPr/>
        <w:t>重组意见经县政府批准同意后，县国资中心负责协调有关县直单位和企业做好国有产权划转、工商登记变更、有关管理关系移交等工作。有关县直单位的国有产权划转依据县政府批准的方案和财务审计报告依法按程序办理，县财政部门负责办理行政事业国有资产核销手续。</w:t>
      </w:r>
    </w:p>
    <w:p>
      <w:pPr>
        <w:pStyle w:val="BodyText"/>
        <w:spacing w:before="4"/>
        <w:ind w:left="747"/>
        <w:rPr>
          <w:rFonts w:ascii="黑体" w:eastAsia="黑体" w:hint="eastAsia"/>
        </w:rPr>
      </w:pPr>
      <w:r>
        <w:rPr>
          <w:rFonts w:ascii="黑体" w:eastAsia="黑体" w:hint="eastAsia"/>
        </w:rPr>
        <w:t>四、工作要求</w:t>
      </w:r>
    </w:p>
    <w:p>
      <w:pPr>
        <w:pStyle w:val="BodyText"/>
        <w:spacing w:line="300" w:lineRule="auto" w:before="150"/>
        <w:ind w:left="106" w:right="424" w:firstLine="640"/>
        <w:jc w:val="both"/>
      </w:pPr>
      <w:r>
        <w:rPr>
          <w:rFonts w:ascii="楷体" w:eastAsia="楷体" w:hint="eastAsia"/>
        </w:rPr>
        <w:t>（一</w:t>
      </w:r>
      <w:r>
        <w:rPr>
          <w:rFonts w:ascii="楷体" w:eastAsia="楷体" w:hint="eastAsia"/>
          <w:spacing w:val="-116"/>
        </w:rPr>
        <w:t>）</w:t>
      </w:r>
      <w:r>
        <w:rPr>
          <w:rFonts w:ascii="楷体" w:eastAsia="楷体" w:hint="eastAsia"/>
          <w:spacing w:val="-16"/>
        </w:rPr>
        <w:t>加强组织领导。</w:t>
      </w:r>
      <w:r>
        <w:rPr>
          <w:spacing w:val="-1"/>
        </w:rPr>
        <w:t>实施县属经营性国有资产统一监管， </w:t>
      </w:r>
      <w:r>
        <w:rPr/>
        <w:t>是县委、县政府作出的一项重要决策部署，是落实全面深化改革的一项重要任务。此项工作涉及单位多，工作量大，必须在</w:t>
      </w:r>
      <w:r>
        <w:rPr>
          <w:w w:val="95"/>
        </w:rPr>
        <w:t>县委、县政府统一领导下精心组织、协力推进。为加强组织领 </w:t>
      </w:r>
      <w:r>
        <w:rPr/>
        <w:t>导，县政府确定成立郯城县推进县属经营性国有资产统一监管</w:t>
      </w:r>
      <w:r>
        <w:rPr>
          <w:spacing w:val="-10"/>
        </w:rPr>
        <w:t>工作领导小组</w:t>
      </w:r>
      <w:r>
        <w:rPr/>
        <w:t>（详见附件,以下简称领导小组</w:t>
      </w:r>
      <w:r>
        <w:rPr>
          <w:spacing w:val="-110"/>
        </w:rPr>
        <w:t>）</w:t>
      </w:r>
      <w:r>
        <w:rPr>
          <w:spacing w:val="-18"/>
        </w:rPr>
        <w:t>，由县政府主要领</w:t>
      </w:r>
      <w:r>
        <w:rPr/>
        <w:t>导同志任组长，分管副县长任副组长，县直有关部门和单位主要负责人为成员，负责协调解决推进统一监管过程中的重大问题。领导小组办公室设在县国资中心，具体负责推进统一监管日常工作。</w:t>
      </w:r>
    </w:p>
    <w:p>
      <w:pPr>
        <w:pStyle w:val="BodyText"/>
        <w:spacing w:line="300" w:lineRule="auto" w:before="6"/>
        <w:ind w:left="106" w:right="416" w:firstLine="640"/>
        <w:jc w:val="both"/>
      </w:pPr>
      <w:r>
        <w:rPr>
          <w:rFonts w:ascii="楷体" w:eastAsia="楷体" w:hint="eastAsia"/>
          <w:spacing w:val="4"/>
          <w:w w:val="95"/>
        </w:rPr>
        <w:t>（二）强化政策支持。</w:t>
      </w:r>
      <w:r>
        <w:rPr>
          <w:spacing w:val="4"/>
          <w:w w:val="95"/>
        </w:rPr>
        <w:t>列入统一监管范围的县属企业在产 </w:t>
      </w:r>
      <w:r>
        <w:rPr>
          <w:spacing w:val="-14"/>
        </w:rPr>
        <w:t>权划转及改革重组中执行国家和省、市、县改革重组相关政策， </w:t>
      </w:r>
      <w:r>
        <w:rPr/>
        <w:t>由市场监管、税务、国土资源、人社等部门及企业所在地政府</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7"/>
        <w:jc w:val="both"/>
      </w:pPr>
      <w:r>
        <w:rPr/>
        <w:t>按管理权限负责具体落实。县属企业长期实质性使用的县级行政事业性资产，依法按程序划转为企业资产，经评估后列入企业国家资本金；因非独立使用等特殊原因无法随同划转的，设</w:t>
      </w:r>
      <w:r>
        <w:rPr>
          <w:spacing w:val="-14"/>
        </w:rPr>
        <w:t>置 </w:t>
      </w:r>
      <w:r>
        <w:rPr/>
        <w:t>5</w:t>
      </w:r>
      <w:r>
        <w:rPr>
          <w:spacing w:val="-7"/>
        </w:rPr>
        <w:t> 年过渡期，由企业按原使用方式及条件继续使用。产权划</w:t>
      </w:r>
      <w:r>
        <w:rPr/>
        <w:t>转的县属企业，职工劳动合同关系保持不变。</w:t>
      </w:r>
    </w:p>
    <w:p>
      <w:pPr>
        <w:pStyle w:val="BodyText"/>
        <w:spacing w:line="300" w:lineRule="auto"/>
        <w:ind w:left="106" w:right="416" w:firstLine="640"/>
        <w:jc w:val="both"/>
      </w:pPr>
      <w:r>
        <w:rPr>
          <w:rFonts w:ascii="楷体" w:eastAsia="楷体" w:hint="eastAsia"/>
          <w:spacing w:val="4"/>
          <w:w w:val="95"/>
        </w:rPr>
        <w:t>（三）严肃工作纪律。</w:t>
      </w:r>
      <w:r>
        <w:rPr>
          <w:spacing w:val="4"/>
          <w:w w:val="95"/>
        </w:rPr>
        <w:t>县直单位主要负责同志为本单位推 </w:t>
      </w:r>
      <w:r>
        <w:rPr/>
        <w:t>进经营性国有资产统一监管工作的第一责任人。县直单位及所属企业要安排专人负责，如实报送有关资料，认真落实工作安排，及时配合做好相关工作，不得隐瞒经营性国有资产，不得抽逃、隐匿资金，不得擅自划拨、转移、出卖资产，不得突击花钱、私分财物，不得突击进人、突击提拔。对延误工作进度及违反上述规定的，将依法严肃追究有关县直单位和企业主要负责人、相关责任人的责任。县纪委监委适时开展一次专项巡查，对借改革之机，尤其是去年以来，浑水摸鱼，侵吞国有资产、违规进人和突击提拔的，一经查实，将严肃追究原主管单位和企业主要负责人、相关责任人的责任。</w:t>
      </w:r>
    </w:p>
    <w:p>
      <w:pPr>
        <w:pStyle w:val="BodyText"/>
        <w:spacing w:line="300" w:lineRule="auto" w:before="8"/>
        <w:ind w:left="106" w:right="416" w:firstLine="640"/>
        <w:jc w:val="both"/>
      </w:pPr>
      <w:r>
        <w:rPr>
          <w:rFonts w:ascii="楷体" w:eastAsia="楷体" w:hint="eastAsia"/>
          <w:spacing w:val="4"/>
          <w:w w:val="95"/>
        </w:rPr>
        <w:t>（四）确保平稳推进。</w:t>
      </w:r>
      <w:r>
        <w:rPr>
          <w:spacing w:val="4"/>
          <w:w w:val="95"/>
        </w:rPr>
        <w:t>县属企业在产权划转前，仍由原主 </w:t>
      </w:r>
      <w:r>
        <w:rPr/>
        <w:t>管单位履行相关管理职责。县直单位及所属企业要妥善处理改革发展稳定的关系，确保改革期间企业平稳有序运行。要切实维护职工合法权益，做深做细思想政治工作，广泛宣传政策， 认真答疑解惑，深入化解矛盾，做到职工思想不散、工作秩序不乱、经营业务不断。县属企业在产权划转前形成的与县直单位混岗使用的工作人员及信访稳定等问题，由原主管单位负责</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before="41"/>
        <w:ind w:left="106"/>
      </w:pPr>
      <w:r>
        <w:rPr/>
        <w:t>妥善解决。</w:t>
      </w:r>
    </w:p>
    <w:p>
      <w:pPr>
        <w:pStyle w:val="BodyText"/>
        <w:spacing w:line="300" w:lineRule="auto" w:before="112"/>
        <w:ind w:left="106" w:right="416" w:firstLine="640"/>
        <w:jc w:val="both"/>
      </w:pPr>
      <w:r>
        <w:rPr>
          <w:rFonts w:ascii="楷体" w:eastAsia="楷体" w:hint="eastAsia"/>
          <w:spacing w:val="4"/>
          <w:w w:val="95"/>
        </w:rPr>
        <w:t>（五）促进企业发展。</w:t>
      </w:r>
      <w:r>
        <w:rPr>
          <w:spacing w:val="4"/>
          <w:w w:val="95"/>
        </w:rPr>
        <w:t>实施统一监管后，县国资中心和县 </w:t>
      </w:r>
      <w:r>
        <w:rPr/>
        <w:t>直单位要各司其职，共同推进县属企业健康发展。县国资中心要坚持以管资本为主，加强企业国有资产监督管理，切实履行出资人职责，促进国有资产保值增值；县直有关单位要认真履行政府公共管理职能，继续做好政策指导、行业监管等管理服务工作。</w:t>
      </w:r>
    </w:p>
    <w:p>
      <w:pPr>
        <w:pStyle w:val="BodyText"/>
        <w:spacing w:line="300" w:lineRule="auto" w:before="4"/>
        <w:ind w:left="106" w:right="416" w:firstLine="640"/>
        <w:jc w:val="both"/>
      </w:pPr>
      <w:r>
        <w:rPr>
          <w:rFonts w:ascii="楷体" w:eastAsia="楷体" w:hint="eastAsia"/>
          <w:spacing w:val="4"/>
          <w:w w:val="95"/>
        </w:rPr>
        <w:t>（六）加强党的建设。</w:t>
      </w:r>
      <w:r>
        <w:rPr>
          <w:spacing w:val="4"/>
          <w:w w:val="95"/>
        </w:rPr>
        <w:t>把党的建设贯穿国企改革发展全过 </w:t>
      </w:r>
      <w:r>
        <w:rPr/>
        <w:t>程，坚持发挥企业党组织的领导核心和政治核心作用，严格落实党建工作责任制。在实施统一监管过程中，按照组织部门有关规定和要求，同步调整和理顺纳入统一监管范围县属企业的领导班子管理和党组织关系。</w:t>
      </w:r>
    </w:p>
    <w:p>
      <w:pPr>
        <w:pStyle w:val="BodyText"/>
        <w:spacing w:line="300" w:lineRule="auto" w:before="4"/>
        <w:ind w:left="109" w:right="419" w:firstLine="635"/>
      </w:pPr>
      <w:r>
        <w:rPr>
          <w:spacing w:val="4"/>
          <w:w w:val="95"/>
        </w:rPr>
        <w:t>县属从事生产经营活动事业单位转制为企业后，按照本方 </w:t>
      </w:r>
      <w:r>
        <w:rPr/>
        <w:t>案实施统一监管。</w:t>
      </w:r>
    </w:p>
    <w:p>
      <w:pPr>
        <w:spacing w:after="0" w:line="300" w:lineRule="auto"/>
        <w:sectPr>
          <w:pgSz w:w="11910" w:h="16840"/>
          <w:pgMar w:header="0" w:footer="1355" w:top="1580" w:bottom="1540" w:left="1480" w:right="1160"/>
        </w:sectPr>
      </w:pPr>
    </w:p>
    <w:p>
      <w:pPr>
        <w:pStyle w:val="BodyText"/>
        <w:spacing w:before="1"/>
        <w:rPr>
          <w:sz w:val="12"/>
        </w:rPr>
      </w:pPr>
    </w:p>
    <w:p>
      <w:pPr>
        <w:pStyle w:val="Heading1"/>
        <w:spacing w:line="641" w:lineRule="exact"/>
        <w:ind w:right="832"/>
      </w:pPr>
      <w:r>
        <w:rPr/>
        <w:t>郯城县人民政府办公室</w:t>
      </w:r>
    </w:p>
    <w:p>
      <w:pPr>
        <w:tabs>
          <w:tab w:pos="987" w:val="left" w:leader="none"/>
        </w:tabs>
        <w:spacing w:line="172" w:lineRule="auto" w:before="37"/>
        <w:ind w:left="106" w:right="426" w:firstLine="0"/>
        <w:jc w:val="center"/>
        <w:rPr>
          <w:rFonts w:ascii="方正小标宋简体" w:eastAsia="方正小标宋简体" w:hint="eastAsia"/>
          <w:sz w:val="44"/>
        </w:rPr>
      </w:pPr>
      <w:r>
        <w:rPr>
          <w:rFonts w:ascii="方正小标宋简体" w:eastAsia="方正小标宋简体" w:hint="eastAsia"/>
          <w:sz w:val="44"/>
        </w:rPr>
        <w:t>关于印</w:t>
      </w:r>
      <w:r>
        <w:rPr>
          <w:rFonts w:ascii="方正小标宋简体" w:eastAsia="方正小标宋简体" w:hint="eastAsia"/>
          <w:spacing w:val="-87"/>
          <w:sz w:val="44"/>
        </w:rPr>
        <w:t>发</w:t>
      </w:r>
      <w:r>
        <w:rPr>
          <w:rFonts w:ascii="方正小标宋简体" w:eastAsia="方正小标宋简体" w:hint="eastAsia"/>
          <w:sz w:val="44"/>
        </w:rPr>
        <w:t>《2019</w:t>
      </w:r>
      <w:r>
        <w:rPr>
          <w:rFonts w:ascii="方正小标宋简体" w:eastAsia="方正小标宋简体" w:hint="eastAsia"/>
          <w:spacing w:val="-9"/>
          <w:sz w:val="44"/>
        </w:rPr>
        <w:t> </w:t>
      </w:r>
      <w:r>
        <w:rPr>
          <w:rFonts w:ascii="方正小标宋简体" w:eastAsia="方正小标宋简体" w:hint="eastAsia"/>
          <w:sz w:val="44"/>
        </w:rPr>
        <w:t>年全县城乡建设工作意见</w:t>
      </w:r>
      <w:r>
        <w:rPr>
          <w:rFonts w:ascii="方正小标宋简体" w:eastAsia="方正小标宋简体" w:hint="eastAsia"/>
          <w:spacing w:val="-87"/>
          <w:sz w:val="44"/>
        </w:rPr>
        <w:t>》</w:t>
      </w:r>
      <w:r>
        <w:rPr>
          <w:rFonts w:ascii="方正小标宋简体" w:eastAsia="方正小标宋简体" w:hint="eastAsia"/>
          <w:spacing w:val="-12"/>
          <w:sz w:val="44"/>
        </w:rPr>
        <w:t>的</w:t>
      </w:r>
      <w:r>
        <w:rPr>
          <w:rFonts w:ascii="方正小标宋简体" w:eastAsia="方正小标宋简体" w:hint="eastAsia"/>
          <w:sz w:val="44"/>
        </w:rPr>
        <w:t>通</w:t>
        <w:tab/>
        <w:t>知</w:t>
      </w:r>
    </w:p>
    <w:p>
      <w:pPr>
        <w:pStyle w:val="BodyText"/>
        <w:spacing w:before="14"/>
        <w:rPr>
          <w:rFonts w:ascii="方正小标宋简体"/>
          <w:sz w:val="34"/>
        </w:rPr>
      </w:pPr>
    </w:p>
    <w:p>
      <w:pPr>
        <w:pStyle w:val="BodyText"/>
        <w:spacing w:before="0"/>
        <w:ind w:left="510" w:right="828"/>
        <w:jc w:val="center"/>
        <w:rPr>
          <w:rFonts w:ascii="楷体_GB2312" w:eastAsia="楷体_GB2312" w:hint="eastAsia"/>
        </w:rPr>
      </w:pPr>
      <w:r>
        <w:rPr>
          <w:rFonts w:ascii="楷体_GB2312" w:eastAsia="楷体_GB2312" w:hint="eastAsia"/>
        </w:rPr>
        <w:t>郯政办字〔2019〕22 号</w:t>
      </w:r>
    </w:p>
    <w:p>
      <w:pPr>
        <w:pStyle w:val="BodyText"/>
        <w:spacing w:before="0"/>
        <w:rPr>
          <w:rFonts w:ascii="楷体_GB2312"/>
        </w:rPr>
      </w:pPr>
    </w:p>
    <w:p>
      <w:pPr>
        <w:pStyle w:val="BodyText"/>
        <w:spacing w:before="6"/>
        <w:rPr>
          <w:rFonts w:ascii="楷体_GB2312"/>
          <w:sz w:val="23"/>
        </w:rPr>
      </w:pPr>
    </w:p>
    <w:p>
      <w:pPr>
        <w:pStyle w:val="BodyText"/>
        <w:spacing w:line="300" w:lineRule="auto" w:before="1"/>
        <w:ind w:left="106" w:right="431"/>
        <w:jc w:val="both"/>
      </w:pPr>
      <w:r>
        <w:rPr>
          <w:w w:val="95"/>
        </w:rPr>
        <w:t>各乡镇人民政府、郯城街道办事处，县直有关部门、单位，郯 城经济开发区管委会，马陵山景区管委会，新村银杏产业开发 </w:t>
      </w:r>
      <w:r>
        <w:rPr/>
        <w:t>区管委会：</w:t>
      </w:r>
    </w:p>
    <w:p>
      <w:pPr>
        <w:pStyle w:val="BodyText"/>
        <w:spacing w:line="300" w:lineRule="auto"/>
        <w:ind w:left="106" w:right="425" w:firstLine="640"/>
        <w:jc w:val="both"/>
      </w:pPr>
      <w:r>
        <w:rPr/>
        <w:t>《2019 年全县城乡建设工作意见》已经县政府研究同意， 现印发给你们，请认真抓好贯彻落实。</w:t>
      </w:r>
    </w:p>
    <w:p>
      <w:pPr>
        <w:pStyle w:val="BodyText"/>
        <w:rPr>
          <w:sz w:val="40"/>
        </w:rPr>
      </w:pPr>
    </w:p>
    <w:p>
      <w:pPr>
        <w:pStyle w:val="BodyText"/>
        <w:spacing w:line="300" w:lineRule="auto" w:before="0"/>
        <w:ind w:left="5068" w:right="1477" w:hanging="481"/>
      </w:pPr>
      <w:r>
        <w:rPr>
          <w:spacing w:val="-2"/>
        </w:rPr>
        <w:t>郯城县人民政府办公室</w:t>
      </w:r>
      <w:r>
        <w:rPr/>
        <w:t>2019</w:t>
      </w:r>
      <w:r>
        <w:rPr>
          <w:spacing w:val="-54"/>
        </w:rPr>
        <w:t> 年 </w:t>
      </w:r>
      <w:r>
        <w:rPr/>
        <w:t>4</w:t>
      </w:r>
      <w:r>
        <w:rPr>
          <w:spacing w:val="-54"/>
        </w:rPr>
        <w:t> 月 </w:t>
      </w:r>
      <w:r>
        <w:rPr/>
        <w:t>13</w:t>
      </w:r>
      <w:r>
        <w:rPr>
          <w:spacing w:val="-41"/>
        </w:rPr>
        <w:t> 日</w:t>
      </w:r>
    </w:p>
    <w:p>
      <w:pPr>
        <w:pStyle w:val="BodyText"/>
        <w:spacing w:before="0"/>
        <w:rPr>
          <w:sz w:val="36"/>
        </w:rPr>
      </w:pPr>
    </w:p>
    <w:p>
      <w:pPr>
        <w:pStyle w:val="BodyText"/>
        <w:spacing w:before="7"/>
        <w:rPr>
          <w:sz w:val="29"/>
        </w:rPr>
      </w:pPr>
    </w:p>
    <w:p>
      <w:pPr>
        <w:pStyle w:val="Heading1"/>
        <w:spacing w:before="1"/>
      </w:pPr>
      <w:r>
        <w:rPr/>
        <w:t>2019</w:t>
      </w:r>
      <w:r>
        <w:rPr>
          <w:spacing w:val="-2"/>
        </w:rPr>
        <w:t> 年全县城乡建设工作意见</w:t>
      </w:r>
    </w:p>
    <w:p>
      <w:pPr>
        <w:pStyle w:val="BodyText"/>
        <w:spacing w:before="15"/>
        <w:rPr>
          <w:rFonts w:ascii="方正小标宋简体"/>
          <w:sz w:val="30"/>
        </w:rPr>
      </w:pPr>
    </w:p>
    <w:p>
      <w:pPr>
        <w:pStyle w:val="BodyText"/>
        <w:spacing w:line="300" w:lineRule="auto" w:before="0"/>
        <w:ind w:left="106" w:right="416" w:firstLine="640"/>
        <w:jc w:val="both"/>
      </w:pPr>
      <w:r>
        <w:rPr>
          <w:spacing w:val="4"/>
          <w:w w:val="95"/>
        </w:rPr>
        <w:t>为进一步统筹推进城乡建设，提升建设品质和管理水平， </w:t>
      </w:r>
      <w:r>
        <w:rPr>
          <w:spacing w:val="-17"/>
        </w:rPr>
        <w:t>改善城乡人居环境，增强城镇综合功能，加快新型城镇化进程， </w:t>
      </w:r>
      <w:r>
        <w:rPr>
          <w:spacing w:val="-39"/>
        </w:rPr>
        <w:t>现就 </w:t>
      </w:r>
      <w:r>
        <w:rPr/>
        <w:t>2019</w:t>
      </w:r>
      <w:r>
        <w:rPr>
          <w:spacing w:val="-10"/>
        </w:rPr>
        <w:t> 年全县城乡建设工作提出如下意见。</w:t>
      </w:r>
    </w:p>
    <w:p>
      <w:pPr>
        <w:pStyle w:val="BodyText"/>
        <w:spacing w:before="3"/>
        <w:ind w:left="747"/>
        <w:rPr>
          <w:rFonts w:ascii="黑体" w:eastAsia="黑体" w:hint="eastAsia"/>
        </w:rPr>
      </w:pPr>
      <w:r>
        <w:rPr>
          <w:rFonts w:ascii="黑体" w:eastAsia="黑体" w:hint="eastAsia"/>
        </w:rPr>
        <w:t>一、指导思想</w:t>
      </w:r>
    </w:p>
    <w:p>
      <w:pPr>
        <w:pStyle w:val="BodyText"/>
        <w:spacing w:before="149"/>
        <w:ind w:left="747"/>
      </w:pPr>
      <w:r>
        <w:rPr/>
        <w:t>以习近平新时代中国特色社会主义思想为指导，深入贯彻</w:t>
      </w:r>
    </w:p>
    <w:p>
      <w:pPr>
        <w:spacing w:after="0"/>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31"/>
        <w:jc w:val="both"/>
      </w:pPr>
      <w:r>
        <w:rPr>
          <w:w w:val="95"/>
        </w:rPr>
        <w:t>党的十九大精神，认真落实中央和省市关于新型城镇化决策部 署，坚持以人民为中心的发展思想，突出规划引领，注重品质 提升，优化管理服务，全面推进新型城镇化高质量发展，加快 建设富有实力、宜居宜业、生态优美、开放包容、人民幸福的 </w:t>
      </w:r>
      <w:r>
        <w:rPr/>
        <w:t>新郯城。</w:t>
      </w:r>
    </w:p>
    <w:p>
      <w:pPr>
        <w:pStyle w:val="BodyText"/>
        <w:ind w:left="747"/>
        <w:rPr>
          <w:rFonts w:ascii="黑体" w:eastAsia="黑体" w:hint="eastAsia"/>
        </w:rPr>
      </w:pPr>
      <w:r>
        <w:rPr>
          <w:rFonts w:ascii="黑体" w:eastAsia="黑体" w:hint="eastAsia"/>
        </w:rPr>
        <w:t>二、目标任务</w:t>
      </w:r>
    </w:p>
    <w:p>
      <w:pPr>
        <w:pStyle w:val="BodyText"/>
        <w:spacing w:line="300" w:lineRule="auto" w:before="151"/>
        <w:ind w:left="106" w:right="416" w:firstLine="640"/>
        <w:jc w:val="both"/>
      </w:pPr>
      <w:r>
        <w:rPr>
          <w:spacing w:val="4"/>
          <w:w w:val="95"/>
        </w:rPr>
        <w:t>以新旧动能转换重大工程为引领，以加快推进新型城镇化 </w:t>
      </w:r>
      <w:r>
        <w:rPr/>
        <w:t>为主线，坚定不移推进“一城四片区”建设，完善功能配套， 加强综合开发，提升管理水平，着力提升城市承载力和系统化水平。深入实施乡村振兴战略，推进美丽镇村建设，大力提升</w:t>
      </w:r>
      <w:r>
        <w:rPr>
          <w:spacing w:val="-12"/>
        </w:rPr>
        <w:t>乡村宜居水平，努力开创全县城乡建设高质量发展新局面。</w:t>
      </w:r>
      <w:r>
        <w:rPr/>
        <w:t>2019 </w:t>
      </w:r>
      <w:r>
        <w:rPr>
          <w:spacing w:val="-8"/>
        </w:rPr>
        <w:t>年，计划投资 </w:t>
      </w:r>
      <w:r>
        <w:rPr/>
        <w:t>84</w:t>
      </w:r>
      <w:r>
        <w:rPr>
          <w:spacing w:val="-12"/>
        </w:rPr>
        <w:t> 亿元，实施规划、建设、管理 </w:t>
      </w:r>
      <w:r>
        <w:rPr/>
        <w:t>3</w:t>
      </w:r>
      <w:r>
        <w:rPr>
          <w:spacing w:val="-29"/>
        </w:rPr>
        <w:t> 大类 </w:t>
      </w:r>
      <w:r>
        <w:rPr/>
        <w:t>58</w:t>
      </w:r>
      <w:r>
        <w:rPr>
          <w:spacing w:val="-20"/>
        </w:rPr>
        <w:t> 个城</w:t>
      </w:r>
      <w:r>
        <w:rPr>
          <w:spacing w:val="-18"/>
        </w:rPr>
        <w:t>建重点工程。到年底，户籍人口城镇化率达到 </w:t>
      </w:r>
      <w:r>
        <w:rPr/>
        <w:t>43.4</w:t>
      </w:r>
      <w:r>
        <w:rPr>
          <w:spacing w:val="-5"/>
        </w:rPr>
        <w:t>%以上，常住</w:t>
      </w:r>
      <w:r>
        <w:rPr>
          <w:spacing w:val="-14"/>
        </w:rPr>
        <w:t>人口城镇化率达到 </w:t>
      </w:r>
      <w:r>
        <w:rPr/>
        <w:t>41.3%以上。</w:t>
      </w:r>
    </w:p>
    <w:p>
      <w:pPr>
        <w:pStyle w:val="BodyText"/>
        <w:spacing w:line="300" w:lineRule="auto" w:before="5"/>
        <w:ind w:left="106" w:right="415" w:firstLine="640"/>
        <w:jc w:val="both"/>
      </w:pPr>
      <w:r>
        <w:rPr>
          <w:rFonts w:ascii="楷体_GB2312" w:hAnsi="楷体_GB2312" w:eastAsia="楷体_GB2312" w:hint="eastAsia"/>
          <w:spacing w:val="4"/>
          <w:w w:val="95"/>
        </w:rPr>
        <w:t>（一）完善规划编制，突出规划引领。</w:t>
      </w:r>
      <w:r>
        <w:rPr>
          <w:spacing w:val="4"/>
          <w:w w:val="95"/>
        </w:rPr>
        <w:t>进一步加快规划编 </w:t>
      </w:r>
      <w:r>
        <w:rPr/>
        <w:t>制进度，构建完整的城乡规划体系，实现城市规划区新一轮控规全覆盖和城市核心区城市设计全覆盖，组织编制城市综合交通等专项规划，全面完成乡镇总体规划修编。贯彻“适用、经济、绿色、美观”的建筑方针，推动建筑设计传承创新，明确城市整体景观风貌格局，把城市特色风貌塑造的形象要求转化为直观清晰的管控指标体系，推进城市公共空间设计和街道设计，增强街区活力和特色。继续完善执行规委会审议制度和阳光规划制度，严把审批关口，强化刚性约束，提高规划的科学</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before="41"/>
        <w:ind w:left="106"/>
      </w:pPr>
      <w:r>
        <w:rPr>
          <w:w w:val="95"/>
        </w:rPr>
        <w:t>性、前瞻性，突出规划的强制性、权威性。</w:t>
      </w:r>
    </w:p>
    <w:p>
      <w:pPr>
        <w:pStyle w:val="BodyText"/>
        <w:spacing w:line="300" w:lineRule="auto" w:before="112"/>
        <w:ind w:left="106" w:right="415" w:firstLine="640"/>
        <w:jc w:val="both"/>
      </w:pPr>
      <w:r>
        <w:rPr>
          <w:rFonts w:ascii="楷体_GB2312" w:hAnsi="楷体_GB2312" w:eastAsia="楷体_GB2312" w:hint="eastAsia"/>
          <w:spacing w:val="4"/>
          <w:w w:val="95"/>
        </w:rPr>
        <w:t>（二）完善设施配套，提升城市品质。</w:t>
      </w:r>
      <w:r>
        <w:rPr>
          <w:spacing w:val="4"/>
          <w:w w:val="95"/>
        </w:rPr>
        <w:t>围绕临沂副中心城 </w:t>
      </w:r>
      <w:r>
        <w:rPr/>
        <w:t>市定位，坚持“一城四片区”建设发展框架，持续推进基础设施建设，着力提升城市承载力和环境品质。</w:t>
      </w:r>
    </w:p>
    <w:p>
      <w:pPr>
        <w:pStyle w:val="BodyText"/>
        <w:spacing w:line="300" w:lineRule="auto"/>
        <w:ind w:left="106" w:right="422" w:firstLine="640"/>
        <w:jc w:val="both"/>
      </w:pPr>
      <w:r>
        <w:rPr>
          <w:b/>
          <w:spacing w:val="-1"/>
          <w:w w:val="99"/>
        </w:rPr>
        <w:t>1</w:t>
      </w:r>
      <w:r>
        <w:rPr>
          <w:b/>
          <w:spacing w:val="-4"/>
          <w:w w:val="99"/>
        </w:rPr>
        <w:t>、做大做美县城。</w:t>
      </w:r>
      <w:r>
        <w:rPr>
          <w:spacing w:val="-2"/>
          <w:w w:val="99"/>
        </w:rPr>
        <w:t>全方位推进新城发展，开工建设政务服</w:t>
      </w:r>
      <w:r>
        <w:rPr>
          <w:spacing w:val="4"/>
          <w:w w:val="99"/>
        </w:rPr>
        <w:t>               </w:t>
      </w:r>
      <w:r>
        <w:rPr/>
        <w:t>务中心、疾控中心等项目，完成电子科技学校主体工程，建成</w:t>
      </w:r>
      <w:r>
        <w:rPr>
          <w:w w:val="95"/>
        </w:rPr>
        <w:t>新党校、档案馆，对外开放博物馆、规划馆，进一步丰富新城 </w:t>
      </w:r>
      <w:r>
        <w:rPr/>
        <w:t>内涵，增强服务功能，加快葛庄、坝子片区拆迁，完成沭河路北延、开阳路南延工程，为“南拓北延”打下坚实基础。大力度实施老城改造，推进郯国古城文化旅游项目建设，推动东南片区快速崛起。启动社区卫生服务中心建设和杨楼村搬迁，加快推进棚户区改造，推进片区路网建设，拉开东北片区框架。实施故城遗址公园、郯中路北段建设等工程，加快住宅及配套项目建设，提升西北片区形象。</w:t>
      </w:r>
    </w:p>
    <w:p>
      <w:pPr>
        <w:pStyle w:val="BodyText"/>
        <w:spacing w:line="300" w:lineRule="auto" w:before="6"/>
        <w:ind w:left="106" w:right="420" w:firstLine="640"/>
        <w:jc w:val="both"/>
      </w:pPr>
      <w:r>
        <w:rPr>
          <w:b/>
          <w:w w:val="99"/>
        </w:rPr>
        <w:t>2</w:t>
      </w:r>
      <w:r>
        <w:rPr>
          <w:b/>
          <w:spacing w:val="-4"/>
          <w:w w:val="99"/>
        </w:rPr>
        <w:t>、优化路网管网。</w:t>
      </w:r>
      <w:r>
        <w:rPr>
          <w:spacing w:val="-6"/>
          <w:w w:val="99"/>
        </w:rPr>
        <w:t>按照“打通断头路、改造破损路、提升</w:t>
      </w:r>
      <w:r>
        <w:rPr>
          <w:spacing w:val="4"/>
          <w:w w:val="99"/>
        </w:rPr>
        <w:t>               </w:t>
      </w:r>
      <w:r>
        <w:rPr/>
        <w:t>通行力”的思路，积极实施老城区工业路中段、文化路西段、</w:t>
      </w:r>
      <w:r>
        <w:rPr>
          <w:spacing w:val="-17"/>
        </w:rPr>
        <w:t>古槐路西段、富民路中段、人民路西段和建设路东段沥青罩面， </w:t>
      </w:r>
      <w:r>
        <w:rPr/>
        <w:t>开发区南外环西延、恒通路南延、兴郯路南延，东南片区文明</w:t>
      </w:r>
      <w:r>
        <w:rPr>
          <w:spacing w:val="-8"/>
        </w:rPr>
        <w:t>路南延、龙泉路，东北片区富民路北延、郯子路中段等 </w:t>
      </w:r>
      <w:r>
        <w:rPr/>
        <w:t>16</w:t>
      </w:r>
      <w:r>
        <w:rPr>
          <w:spacing w:val="-32"/>
        </w:rPr>
        <w:t> 条道</w:t>
      </w:r>
    </w:p>
    <w:p>
      <w:pPr>
        <w:pStyle w:val="BodyText"/>
        <w:spacing w:line="300" w:lineRule="auto" w:before="4"/>
        <w:ind w:left="106" w:right="426"/>
        <w:jc w:val="both"/>
      </w:pPr>
      <w:r>
        <w:rPr>
          <w:spacing w:val="-2"/>
        </w:rPr>
        <w:t>路建设改造，开工建设 </w:t>
      </w:r>
      <w:r>
        <w:rPr/>
        <w:t>205</w:t>
      </w:r>
      <w:r>
        <w:rPr>
          <w:spacing w:val="-5"/>
        </w:rPr>
        <w:t> 国道绕城改建项目，提高城区道路</w:t>
      </w:r>
      <w:r>
        <w:rPr/>
        <w:t>通达能力。同步实施供水、燃气、供热、雨水、污水等市政管网工程，重点开展北关河清淤，建成文化路雨水提升泵站，增</w:t>
      </w:r>
      <w:r>
        <w:rPr>
          <w:w w:val="95"/>
        </w:rPr>
        <w:t>强城区防汛能力；改造人民路、文化路等供热管网，提升建设</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before="41"/>
        <w:ind w:left="106"/>
      </w:pPr>
      <w:r>
        <w:rPr/>
        <w:t>路、郯东路等供水管网，增强城市服务功能和综合承载力。</w:t>
      </w:r>
    </w:p>
    <w:p>
      <w:pPr>
        <w:pStyle w:val="BodyText"/>
        <w:spacing w:line="300" w:lineRule="auto" w:before="112"/>
        <w:ind w:left="106" w:right="267" w:firstLine="640"/>
      </w:pPr>
      <w:r>
        <w:rPr>
          <w:b/>
          <w:spacing w:val="4"/>
          <w:w w:val="99"/>
        </w:rPr>
        <w:t>3</w:t>
      </w:r>
      <w:r>
        <w:rPr>
          <w:b/>
          <w:spacing w:val="4"/>
          <w:w w:val="99"/>
        </w:rPr>
        <w:t>、提升居住条件。</w:t>
      </w:r>
      <w:r>
        <w:rPr>
          <w:spacing w:val="2"/>
          <w:w w:val="99"/>
        </w:rPr>
        <w:t>以解决群众关注的民生实事为着力点，</w:t>
      </w:r>
      <w:r>
        <w:rPr>
          <w:spacing w:val="4"/>
          <w:w w:val="99"/>
        </w:rPr>
        <w:t>               </w:t>
      </w:r>
      <w:r>
        <w:rPr/>
        <w:t>积极实施城市品质提升三年行动计划。运用“美好环境与幸福生活共同缔造”的理念和方法，推进老旧小区改造工作，重点解决供暖、供气、二次供水、停车难等问题，鼓励有条件的小</w:t>
      </w:r>
      <w:r>
        <w:rPr>
          <w:spacing w:val="-8"/>
        </w:rPr>
        <w:t>区加装电梯等便民设施。开展人行道净化和自行车专用道建设， </w:t>
      </w:r>
      <w:r>
        <w:rPr/>
        <w:t>加强市政设施维护，推进绿道建设。进一步规范管理物业服务行业，学习借鉴以党建引领推进业主委员会和物业服务企业建设经验，提高物业服务水平，打造舒适居住条件。</w:t>
      </w:r>
    </w:p>
    <w:p>
      <w:pPr>
        <w:pStyle w:val="BodyText"/>
        <w:spacing w:line="300" w:lineRule="auto" w:before="6"/>
        <w:ind w:left="106" w:right="415" w:firstLine="640"/>
        <w:jc w:val="right"/>
      </w:pPr>
      <w:r>
        <w:rPr>
          <w:rFonts w:ascii="楷体_GB2312" w:hAnsi="楷体_GB2312" w:eastAsia="楷体_GB2312" w:hint="eastAsia"/>
          <w:spacing w:val="4"/>
          <w:w w:val="95"/>
        </w:rPr>
        <w:t>（三）致力乡村振兴，推进镇村更美。</w:t>
      </w:r>
      <w:r>
        <w:rPr>
          <w:spacing w:val="4"/>
          <w:w w:val="95"/>
        </w:rPr>
        <w:t>以加快乡村振兴发 </w:t>
      </w:r>
      <w:r>
        <w:rPr>
          <w:w w:val="95"/>
        </w:rPr>
        <w:t>展为目标，以生态宜居、功能提升为导向，深入实施农村人居 环境整治，统筹推进乡镇驻地环境提升和美丽乡村建设，加速 “镇村建设”美丽蝶变，提高以人为核心的城乡一体化水平。</w:t>
      </w:r>
      <w:r>
        <w:rPr>
          <w:b/>
          <w:spacing w:val="-1"/>
          <w:w w:val="99"/>
        </w:rPr>
        <w:t>1</w:t>
      </w:r>
      <w:r>
        <w:rPr>
          <w:b/>
          <w:spacing w:val="-19"/>
          <w:w w:val="99"/>
        </w:rPr>
        <w:t>、打造特色小镇。</w:t>
      </w:r>
      <w:r>
        <w:rPr>
          <w:w w:val="99"/>
        </w:rPr>
        <w:t>积</w:t>
      </w:r>
      <w:r>
        <w:rPr>
          <w:spacing w:val="-16"/>
          <w:w w:val="99"/>
        </w:rPr>
        <w:t>极融合产业、文化、旅游、社区功能，</w:t>
      </w:r>
    </w:p>
    <w:p>
      <w:pPr>
        <w:pStyle w:val="BodyText"/>
        <w:spacing w:line="300" w:lineRule="auto"/>
        <w:ind w:left="106" w:right="421"/>
        <w:jc w:val="both"/>
      </w:pPr>
      <w:r>
        <w:rPr/>
        <w:t>大力推进新村银杏温泉小镇建设发展，示范带动县域特色小镇建设，加快打造李庄、马头、红花等特色小镇。持续加强乡镇</w:t>
      </w:r>
      <w:r>
        <w:rPr>
          <w:spacing w:val="-15"/>
        </w:rPr>
        <w:t>驻地环境改造提升，加快全域卫生创建，争创国家级卫生乡镇 </w:t>
      </w:r>
      <w:r>
        <w:rPr>
          <w:spacing w:val="-13"/>
        </w:rPr>
        <w:t>8 </w:t>
      </w:r>
      <w:r>
        <w:rPr>
          <w:spacing w:val="-8"/>
        </w:rPr>
        <w:t>个、省级卫生乡镇 </w:t>
      </w:r>
      <w:r>
        <w:rPr/>
        <w:t>2</w:t>
      </w:r>
      <w:r>
        <w:rPr>
          <w:spacing w:val="-24"/>
        </w:rPr>
        <w:t> 个，力争 </w:t>
      </w:r>
      <w:r>
        <w:rPr/>
        <w:t>80％以上的社区建成省级卫生社区。支持泉源、花园、归昌撤乡设镇，切实增强小城镇辐射带动功能，大幅提升全县新型城镇化率。</w:t>
      </w:r>
    </w:p>
    <w:p>
      <w:pPr>
        <w:pStyle w:val="BodyText"/>
        <w:spacing w:line="300" w:lineRule="auto" w:before="5"/>
        <w:ind w:left="106" w:right="424" w:firstLine="640"/>
        <w:jc w:val="both"/>
      </w:pPr>
      <w:r>
        <w:rPr>
          <w:b/>
          <w:w w:val="99"/>
        </w:rPr>
        <w:t>2</w:t>
      </w:r>
      <w:r>
        <w:rPr>
          <w:b/>
          <w:spacing w:val="-5"/>
          <w:w w:val="99"/>
        </w:rPr>
        <w:t>、创建美丽乡村。</w:t>
      </w:r>
      <w:r>
        <w:rPr>
          <w:spacing w:val="-2"/>
          <w:w w:val="99"/>
        </w:rPr>
        <w:t>继续推进美丽乡村建设，新增省级美丽</w:t>
      </w:r>
      <w:r>
        <w:rPr>
          <w:spacing w:val="-2"/>
          <w:w w:val="96"/>
        </w:rPr>
        <w:t>                </w:t>
      </w:r>
      <w:r>
        <w:rPr>
          <w:spacing w:val="-18"/>
          <w:w w:val="95"/>
        </w:rPr>
        <w:t>乡村 </w:t>
      </w:r>
      <w:r>
        <w:rPr>
          <w:w w:val="95"/>
        </w:rPr>
        <w:t>4</w:t>
      </w:r>
      <w:r>
        <w:rPr>
          <w:spacing w:val="-24"/>
          <w:w w:val="95"/>
        </w:rPr>
        <w:t> 个、省级自主创建村 </w:t>
      </w:r>
      <w:r>
        <w:rPr>
          <w:w w:val="95"/>
        </w:rPr>
        <w:t>4</w:t>
      </w:r>
      <w:r>
        <w:rPr>
          <w:spacing w:val="-19"/>
          <w:w w:val="95"/>
        </w:rPr>
        <w:t> 个，确保美丽乡村覆盖率达到 </w:t>
      </w:r>
      <w:r>
        <w:rPr>
          <w:w w:val="95"/>
        </w:rPr>
        <w:t>20</w:t>
      </w:r>
      <w:r>
        <w:rPr>
          <w:spacing w:val="-6"/>
          <w:w w:val="95"/>
        </w:rPr>
        <w:t>％。</w:t>
      </w:r>
      <w:r>
        <w:rPr>
          <w:spacing w:val="-4"/>
          <w:w w:val="99"/>
        </w:rPr>
        <w:t>深入开展农村人居环境整治，实施“三清一改</w:t>
      </w:r>
      <w:r>
        <w:rPr>
          <w:spacing w:val="-183"/>
          <w:w w:val="99"/>
        </w:rPr>
        <w:t>”</w:t>
      </w:r>
      <w:r>
        <w:rPr>
          <w:w w:val="99"/>
        </w:rPr>
        <w:t>（</w:t>
      </w:r>
      <w:r>
        <w:rPr>
          <w:spacing w:val="-2"/>
          <w:w w:val="99"/>
        </w:rPr>
        <w:t>清理农村生活</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106"/>
      </w:pPr>
      <w:r>
        <w:rPr/>
        <w:t>垃圾、清理村内塘沟、清理畜禽养殖粪污等农业生产废弃物， 改变影响农村人居环境的不良习惯</w:t>
      </w:r>
      <w:r>
        <w:rPr>
          <w:spacing w:val="-115"/>
        </w:rPr>
        <w:t>）</w:t>
      </w:r>
      <w:r>
        <w:rPr>
          <w:spacing w:val="-13"/>
        </w:rPr>
        <w:t>，建立卫生大扫除长效机制， </w:t>
      </w:r>
      <w:r>
        <w:rPr/>
        <w:t>积极营造整洁优美、生态宜居的乡村环境。</w:t>
      </w:r>
    </w:p>
    <w:p>
      <w:pPr>
        <w:pStyle w:val="BodyText"/>
        <w:spacing w:line="300" w:lineRule="auto"/>
        <w:ind w:left="106" w:right="424" w:firstLine="640"/>
        <w:jc w:val="both"/>
      </w:pPr>
      <w:r>
        <w:rPr>
          <w:b/>
          <w:spacing w:val="-1"/>
          <w:w w:val="99"/>
        </w:rPr>
        <w:t>3</w:t>
      </w:r>
      <w:r>
        <w:rPr>
          <w:b/>
          <w:spacing w:val="-6"/>
          <w:w w:val="99"/>
        </w:rPr>
        <w:t>、助推乡村振兴。</w:t>
      </w:r>
      <w:r>
        <w:rPr>
          <w:spacing w:val="-2"/>
          <w:w w:val="99"/>
        </w:rPr>
        <w:t>加快实施乡村振兴战略，积极与城乡建</w:t>
      </w:r>
      <w:r>
        <w:rPr>
          <w:spacing w:val="4"/>
          <w:w w:val="99"/>
        </w:rPr>
        <w:t>               </w:t>
      </w:r>
      <w:r>
        <w:rPr/>
        <w:t>设用地增减挂钩工作紧密结合，加快推进农村新型社区建设。</w:t>
      </w:r>
      <w:r>
        <w:rPr>
          <w:spacing w:val="-10"/>
        </w:rPr>
        <w:t>力争年内拆旧 </w:t>
      </w:r>
      <w:r>
        <w:rPr/>
        <w:t>1500</w:t>
      </w:r>
      <w:r>
        <w:rPr>
          <w:spacing w:val="-25"/>
        </w:rPr>
        <w:t> 亩、验收 </w:t>
      </w:r>
      <w:r>
        <w:rPr/>
        <w:t>700</w:t>
      </w:r>
      <w:r>
        <w:rPr>
          <w:spacing w:val="-9"/>
        </w:rPr>
        <w:t> 亩，着力推进大社区建设。构建农村便捷交通体系，每个中心村（社区）</w:t>
      </w:r>
      <w:r>
        <w:rPr>
          <w:spacing w:val="-31"/>
        </w:rPr>
        <w:t>及 </w:t>
      </w:r>
      <w:r>
        <w:rPr/>
        <w:t>40</w:t>
      </w:r>
      <w:r>
        <w:rPr>
          <w:spacing w:val="-3"/>
        </w:rPr>
        <w:t>％以上的行政</w:t>
      </w:r>
      <w:r>
        <w:rPr>
          <w:spacing w:val="-9"/>
        </w:rPr>
        <w:t>村至少建设一条宽 </w:t>
      </w:r>
      <w:r>
        <w:rPr/>
        <w:t>6</w:t>
      </w:r>
      <w:r>
        <w:rPr>
          <w:spacing w:val="-25"/>
        </w:rPr>
        <w:t> 米以上的公路。投资 </w:t>
      </w:r>
      <w:r>
        <w:rPr/>
        <w:t>2.2</w:t>
      </w:r>
      <w:r>
        <w:rPr>
          <w:spacing w:val="-12"/>
        </w:rPr>
        <w:t> 亿元完成农村饮水</w:t>
      </w:r>
      <w:r>
        <w:rPr/>
        <w:t>安全两年攻坚项目，实现农村饮水安全全覆盖。积极实施农村改厕、危房改造、清洁取暖和道路硬化户户通“三改一通”工</w:t>
      </w:r>
      <w:r>
        <w:rPr>
          <w:spacing w:val="-15"/>
        </w:rPr>
        <w:t>程，完成农村改厕整改提升 </w:t>
      </w:r>
      <w:r>
        <w:rPr/>
        <w:t>17290</w:t>
      </w:r>
      <w:r>
        <w:rPr>
          <w:spacing w:val="-14"/>
        </w:rPr>
        <w:t> 户，推行农村无害化卫生厕所</w:t>
      </w:r>
      <w:r>
        <w:rPr>
          <w:spacing w:val="-14"/>
          <w:w w:val="95"/>
        </w:rPr>
        <w:t>“123</w:t>
      </w:r>
      <w:r>
        <w:rPr>
          <w:spacing w:val="-10"/>
          <w:w w:val="95"/>
        </w:rPr>
        <w:t>”管护服务模式，健全长效机制，巩固改厕成果，推进农 </w:t>
      </w:r>
      <w:r>
        <w:rPr>
          <w:spacing w:val="-25"/>
        </w:rPr>
        <w:t>村“厕所革命”。全面完成 </w:t>
      </w:r>
      <w:r>
        <w:rPr/>
        <w:t>131</w:t>
      </w:r>
      <w:r>
        <w:rPr>
          <w:spacing w:val="-10"/>
        </w:rPr>
        <w:t> 户建档立卡贫困户危房改造，推</w:t>
      </w:r>
      <w:r>
        <w:rPr/>
        <w:t>进脱贫攻坚。加快推进村内道路硬化户户通、农村地区清洁取暖、燃气入户、生活垃圾污水处理，实施村庄亮化、绿化、美化，打造美丽村居，加快乡村振兴。</w:t>
      </w:r>
    </w:p>
    <w:p>
      <w:pPr>
        <w:pStyle w:val="BodyText"/>
        <w:spacing w:line="300" w:lineRule="auto" w:before="8"/>
        <w:ind w:left="106" w:right="415" w:firstLine="640"/>
        <w:jc w:val="both"/>
      </w:pPr>
      <w:r>
        <w:rPr>
          <w:rFonts w:ascii="楷体_GB2312" w:eastAsia="楷体_GB2312" w:hint="eastAsia"/>
          <w:spacing w:val="4"/>
          <w:w w:val="95"/>
        </w:rPr>
        <w:t>（四）推行精致精细，加强城乡管理。</w:t>
      </w:r>
      <w:r>
        <w:rPr>
          <w:spacing w:val="4"/>
          <w:w w:val="95"/>
        </w:rPr>
        <w:t>以创建国家卫生县 </w:t>
      </w:r>
      <w:r>
        <w:rPr/>
        <w:t>城为抓手，建立城市管理长效机制和评价体系，深化数字城管建设。突出建管并重，强化严格执法，提高城乡综合管理服务水平。</w:t>
      </w:r>
    </w:p>
    <w:p>
      <w:pPr>
        <w:pStyle w:val="BodyText"/>
        <w:spacing w:line="300" w:lineRule="auto" w:before="3"/>
        <w:ind w:left="106" w:right="426" w:firstLine="640"/>
        <w:jc w:val="both"/>
      </w:pPr>
      <w:r>
        <w:rPr>
          <w:b/>
          <w:spacing w:val="-1"/>
          <w:w w:val="99"/>
        </w:rPr>
        <w:t>1</w:t>
      </w:r>
      <w:r>
        <w:rPr>
          <w:b/>
          <w:spacing w:val="-3"/>
          <w:w w:val="99"/>
        </w:rPr>
        <w:t>、提高城市管理水平。</w:t>
      </w:r>
      <w:r>
        <w:rPr>
          <w:spacing w:val="-3"/>
          <w:w w:val="99"/>
        </w:rPr>
        <w:t>开展“城市精细化管理提升年”行</w:t>
      </w:r>
      <w:r>
        <w:rPr>
          <w:spacing w:val="2"/>
          <w:w w:val="99"/>
        </w:rPr>
        <w:t>                   </w:t>
      </w:r>
      <w:r>
        <w:rPr>
          <w:spacing w:val="-34"/>
          <w:w w:val="99"/>
        </w:rPr>
        <w:t>动，继续推进管理责任下沉，实行“路长制”，落实“门前五包”，</w:t>
      </w:r>
      <w:r>
        <w:rPr/>
        <w:t>探索推进城市管理诚信体系建设，形成主体清晰、权责明确、</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6"/>
        <w:jc w:val="both"/>
      </w:pPr>
      <w:r>
        <w:rPr/>
        <w:t>运转高效的常态化城市管理机制。抓好环卫基础设施建设，新</w:t>
      </w:r>
      <w:r>
        <w:rPr>
          <w:spacing w:val="-12"/>
        </w:rPr>
        <w:t>建垃圾中转站 </w:t>
      </w:r>
      <w:r>
        <w:rPr/>
        <w:t>6</w:t>
      </w:r>
      <w:r>
        <w:rPr>
          <w:spacing w:val="-25"/>
        </w:rPr>
        <w:t> 座，建成公厕 </w:t>
      </w:r>
      <w:r>
        <w:rPr/>
        <w:t>22</w:t>
      </w:r>
      <w:r>
        <w:rPr>
          <w:spacing w:val="-11"/>
        </w:rPr>
        <w:t> 座，持续加大机械清扫和定时</w:t>
      </w:r>
      <w:r>
        <w:rPr/>
        <w:t>洒水力度，加快推进城区餐厨废弃物收集处置和建筑垃圾综合利用，提升城市环境卫生质量，确保成功创建国家卫生县城。严控马路市场、占道经营，设置便民疏导点，提升便民服务水</w:t>
      </w:r>
      <w:r>
        <w:rPr>
          <w:spacing w:val="-2"/>
        </w:rPr>
        <w:t>平。巩固三轮车和四轮代步车整治成果，新增停车场 </w:t>
      </w:r>
      <w:r>
        <w:rPr/>
        <w:t>3</w:t>
      </w:r>
      <w:r>
        <w:rPr>
          <w:spacing w:val="-12"/>
        </w:rPr>
        <w:t> 处、停</w:t>
      </w:r>
    </w:p>
    <w:p>
      <w:pPr>
        <w:pStyle w:val="BodyText"/>
        <w:spacing w:line="300" w:lineRule="auto" w:before="4"/>
        <w:ind w:left="106" w:right="427"/>
        <w:jc w:val="both"/>
      </w:pPr>
      <w:r>
        <w:rPr>
          <w:spacing w:val="-27"/>
        </w:rPr>
        <w:t>车位 </w:t>
      </w:r>
      <w:r>
        <w:rPr/>
        <w:t>1000</w:t>
      </w:r>
      <w:r>
        <w:rPr>
          <w:spacing w:val="-11"/>
        </w:rPr>
        <w:t> 个，进一步规范交通秩序；积极探索智能停车系统建</w:t>
      </w:r>
      <w:r>
        <w:rPr/>
        <w:t>设，细化公共交通服务，优化拓展公共自行车系统，满足群众</w:t>
      </w:r>
      <w:r>
        <w:rPr>
          <w:spacing w:val="-18"/>
        </w:rPr>
        <w:t>出行需求。升级改造道路照明亮化设施，优化城市重点建筑群、</w:t>
      </w:r>
      <w:r>
        <w:rPr>
          <w:w w:val="95"/>
        </w:rPr>
        <w:t>广场和风景区景观照明，扮靓城市夜景。新建一批街头游园， </w:t>
      </w:r>
      <w:r>
        <w:rPr/>
        <w:t>强化城区绿地管护。加强户外广告管理，规范广告牌匾设置， 提高广告宣传精致化，打造成为城市风景线。完善数字化城市管理系统，提高数字城管系统案件处置率和办结率。继续推行</w:t>
      </w:r>
      <w:r>
        <w:rPr>
          <w:spacing w:val="-15"/>
        </w:rPr>
        <w:t>市民通 </w:t>
      </w:r>
      <w:r>
        <w:rPr/>
        <w:t>APP</w:t>
      </w:r>
      <w:r>
        <w:rPr>
          <w:spacing w:val="-1"/>
        </w:rPr>
        <w:t>，增强市民管理城市的主动性、积极性，提高全社</w:t>
      </w:r>
      <w:r>
        <w:rPr/>
        <w:t>会对城市管理参与度，变“政府单一管理”为“政府与社会共</w:t>
      </w:r>
      <w:r>
        <w:rPr>
          <w:spacing w:val="-33"/>
        </w:rPr>
        <w:t>管共治”。</w:t>
      </w:r>
    </w:p>
    <w:p>
      <w:pPr>
        <w:pStyle w:val="BodyText"/>
        <w:spacing w:line="300" w:lineRule="auto" w:before="6"/>
        <w:ind w:left="106" w:right="426" w:firstLine="640"/>
        <w:jc w:val="both"/>
      </w:pPr>
      <w:r>
        <w:rPr>
          <w:b/>
          <w:w w:val="99"/>
        </w:rPr>
        <w:t>2</w:t>
      </w:r>
      <w:r>
        <w:rPr>
          <w:b/>
          <w:spacing w:val="-7"/>
          <w:w w:val="99"/>
        </w:rPr>
        <w:t>、加强建筑市场管理。</w:t>
      </w:r>
      <w:r>
        <w:rPr>
          <w:spacing w:val="-3"/>
          <w:w w:val="99"/>
        </w:rPr>
        <w:t>深化建筑业改革，培育壮大本地建</w:t>
      </w:r>
      <w:r>
        <w:rPr>
          <w:spacing w:val="4"/>
          <w:w w:val="99"/>
        </w:rPr>
        <w:t>                   </w:t>
      </w:r>
      <w:r>
        <w:rPr/>
        <w:t>筑业企业，提升建筑业发展质量，力争全年建筑业总产值增长</w:t>
      </w:r>
      <w:r>
        <w:rPr>
          <w:w w:val="95"/>
        </w:rPr>
        <w:t>10</w:t>
      </w:r>
      <w:r>
        <w:rPr>
          <w:spacing w:val="-8"/>
          <w:w w:val="95"/>
        </w:rPr>
        <w:t>%左右。推动绿色发展，积极推广绿色建筑、装配式建筑。建 </w:t>
      </w:r>
      <w:r>
        <w:rPr>
          <w:w w:val="95"/>
        </w:rPr>
        <w:t>立健全与工程总承包和全过程工程咨询相适应的招投标、质量 </w:t>
      </w:r>
      <w:r>
        <w:rPr/>
        <w:t>安全监督等制度，深化工程质量提升行动，推进工程数字化检</w:t>
      </w:r>
      <w:r>
        <w:rPr>
          <w:spacing w:val="-17"/>
        </w:rPr>
        <w:t>测、标准化施工，提高住宅工程品质；强化安全监管，落实“两</w:t>
      </w:r>
      <w:r>
        <w:rPr>
          <w:spacing w:val="-18"/>
        </w:rPr>
        <w:t>个责任”，防范较大以上安全事故发生；加强农民工工资支付制</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31"/>
        <w:jc w:val="both"/>
      </w:pPr>
      <w:r>
        <w:rPr>
          <w:w w:val="95"/>
        </w:rPr>
        <w:t>度保障，全面实行农民工工资专用账户制度，坚决遏制新欠薪 行为发生。持续加强工地扬尘治理，落实“六规范一监控”要 求，打好大气污染防治攻坚战。建立健全“一处失信、处处受 </w:t>
      </w:r>
      <w:r>
        <w:rPr/>
        <w:t>限”的联管联控机制，构建安全稳定的建筑市场环境。</w:t>
      </w:r>
    </w:p>
    <w:p>
      <w:pPr>
        <w:pStyle w:val="BodyText"/>
        <w:spacing w:line="300" w:lineRule="auto"/>
        <w:ind w:left="106" w:right="426" w:firstLine="640"/>
        <w:jc w:val="both"/>
      </w:pPr>
      <w:r>
        <w:rPr>
          <w:b/>
          <w:spacing w:val="-1"/>
          <w:w w:val="99"/>
        </w:rPr>
        <w:t>3</w:t>
      </w:r>
      <w:r>
        <w:rPr>
          <w:b/>
          <w:spacing w:val="-6"/>
          <w:w w:val="99"/>
        </w:rPr>
        <w:t>、规范乡村工程建设。</w:t>
      </w:r>
      <w:r>
        <w:rPr>
          <w:spacing w:val="-3"/>
          <w:w w:val="99"/>
        </w:rPr>
        <w:t>认真执行《山东省乡村建设规划许</w:t>
      </w:r>
      <w:r>
        <w:rPr>
          <w:spacing w:val="4"/>
          <w:w w:val="99"/>
        </w:rPr>
        <w:t>                   </w:t>
      </w:r>
      <w:r>
        <w:rPr>
          <w:spacing w:val="-17"/>
        </w:rPr>
        <w:t>可管理办法》、《山东省乡村建设工程质量安全管理办法》等要</w:t>
      </w:r>
      <w:r>
        <w:rPr/>
        <w:t>求，加强鲁派民居打造和农房建设管理。严格落实属地管理责</w:t>
      </w:r>
      <w:r>
        <w:rPr>
          <w:spacing w:val="-17"/>
        </w:rPr>
        <w:t>任和行业管理职责，结合“一次办好”改革，推行村居项目“带</w:t>
      </w:r>
      <w:r>
        <w:rPr/>
        <w:t>图审批”制度，完善新建农房手续，确保村庄规划实施和建筑设计方案落地，强化乡村工程质量安全监管，提升农房建设品质和管理水平。持续保持高压态势，按照“消除存量、杜绝新增”的目标要求，建立防违控违长效机制，严控新建，拆除违建。</w:t>
      </w:r>
    </w:p>
    <w:p>
      <w:pPr>
        <w:pStyle w:val="BodyText"/>
        <w:spacing w:line="300" w:lineRule="auto" w:before="7"/>
        <w:ind w:left="106" w:right="426" w:firstLine="640"/>
        <w:jc w:val="both"/>
      </w:pPr>
      <w:r>
        <w:rPr>
          <w:b/>
          <w:w w:val="99"/>
        </w:rPr>
        <w:t>4</w:t>
      </w:r>
      <w:r>
        <w:rPr>
          <w:b/>
          <w:spacing w:val="-6"/>
          <w:w w:val="99"/>
        </w:rPr>
        <w:t>、巩固城乡环卫一体化。</w:t>
      </w:r>
      <w:r>
        <w:rPr>
          <w:spacing w:val="-2"/>
          <w:w w:val="99"/>
        </w:rPr>
        <w:t>建立卫生大扫除长效机制，加强</w:t>
      </w:r>
      <w:r>
        <w:rPr>
          <w:spacing w:val="4"/>
          <w:w w:val="99"/>
        </w:rPr>
        <w:t>                     </w:t>
      </w:r>
      <w:r>
        <w:rPr/>
        <w:t>基层环卫管理机构和环卫队伍建设，合理配备和使用环卫机械设备，加大城乡环卫工作督查力度，强化生活垃圾中转站运行</w:t>
      </w:r>
      <w:r>
        <w:rPr>
          <w:w w:val="95"/>
        </w:rPr>
        <w:t>管理，落实日常环卫保洁制度，保障乡镇环卫工作机构完善、 </w:t>
      </w:r>
      <w:r>
        <w:rPr>
          <w:spacing w:val="-17"/>
        </w:rPr>
        <w:t>人员到位、设备齐全、运行有序，进一步完善生活垃圾“户集、</w:t>
      </w:r>
      <w:r>
        <w:rPr/>
        <w:t>村收、镇运、县处理”的一条龙体系，形成城乡环卫保洁长效管理机制，全面提升城乡环卫一体化水平。</w:t>
      </w:r>
    </w:p>
    <w:p>
      <w:pPr>
        <w:pStyle w:val="BodyText"/>
        <w:spacing w:before="4"/>
        <w:ind w:left="906"/>
        <w:rPr>
          <w:rFonts w:ascii="黑体" w:eastAsia="黑体" w:hint="eastAsia"/>
        </w:rPr>
      </w:pPr>
      <w:r>
        <w:rPr>
          <w:rFonts w:ascii="黑体" w:eastAsia="黑体" w:hint="eastAsia"/>
        </w:rPr>
        <w:t>三、保障措施</w:t>
      </w:r>
    </w:p>
    <w:p>
      <w:pPr>
        <w:pStyle w:val="BodyText"/>
        <w:spacing w:line="300" w:lineRule="auto" w:before="151"/>
        <w:ind w:left="106" w:right="257" w:firstLine="799"/>
      </w:pPr>
      <w:r>
        <w:rPr>
          <w:rFonts w:ascii="楷体_GB2312" w:eastAsia="楷体_GB2312" w:hint="eastAsia"/>
          <w:spacing w:val="4"/>
          <w:w w:val="95"/>
        </w:rPr>
        <w:t>（一）高点定位，提升水平。</w:t>
      </w:r>
      <w:r>
        <w:rPr>
          <w:spacing w:val="4"/>
          <w:w w:val="95"/>
        </w:rPr>
        <w:t>立足全县和区域发展大局， </w:t>
      </w:r>
      <w:r>
        <w:rPr/>
        <w:t>坚持高点定位、优化提升，着力增强中心城区的吸引力、凝聚</w:t>
      </w:r>
    </w:p>
    <w:p>
      <w:pPr>
        <w:spacing w:after="0" w:line="300" w:lineRule="auto"/>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0"/>
        <w:jc w:val="both"/>
      </w:pPr>
      <w:r>
        <w:rPr/>
        <w:t>力和辐射力。按照“走出去、请进来”的思路，对标赶超，开阔视野，学习先进设计理念和经验做法，邀请知名专家、学者前来授课培训，提高业务素质和理论水平，在规划设计上充分体现新发展理念，整体提升规划设计水平，以高水平规划引领高标准建设，以高标准建设推动高质量发展。</w:t>
      </w:r>
    </w:p>
    <w:p>
      <w:pPr>
        <w:pStyle w:val="BodyText"/>
        <w:spacing w:line="300" w:lineRule="auto"/>
        <w:ind w:left="106" w:right="425" w:firstLine="799"/>
        <w:jc w:val="both"/>
      </w:pPr>
      <w:r>
        <w:rPr>
          <w:rFonts w:ascii="楷体_GB2312" w:hAnsi="楷体_GB2312" w:eastAsia="楷体_GB2312" w:hint="eastAsia"/>
        </w:rPr>
        <w:t>（二</w:t>
      </w:r>
      <w:r>
        <w:rPr>
          <w:rFonts w:ascii="楷体_GB2312" w:hAnsi="楷体_GB2312" w:eastAsia="楷体_GB2312" w:hint="eastAsia"/>
          <w:spacing w:val="-17"/>
        </w:rPr>
        <w:t>）</w:t>
      </w:r>
      <w:r>
        <w:rPr>
          <w:rFonts w:ascii="楷体_GB2312" w:hAnsi="楷体_GB2312" w:eastAsia="楷体_GB2312" w:hint="eastAsia"/>
          <w:spacing w:val="-5"/>
        </w:rPr>
        <w:t>创新思路，破解难题。</w:t>
      </w:r>
      <w:r>
        <w:rPr>
          <w:spacing w:val="-4"/>
        </w:rPr>
        <w:t>坚持问题导向，梳理找准突</w:t>
      </w:r>
      <w:r>
        <w:rPr/>
        <w:t>出问题，针对矛盾问题，迎难而上想新策，攻坚克难出实招。创新融资模式，拓宽融资渠道，通过整合有形资产，整合资金</w:t>
      </w:r>
      <w:r>
        <w:rPr>
          <w:spacing w:val="-13"/>
          <w:w w:val="99"/>
        </w:rPr>
        <w:t>资源，破解建设资金难题。坚持“依法拆迁、友情操作”，综合</w:t>
      </w:r>
      <w:r>
        <w:rPr>
          <w:spacing w:val="-17"/>
        </w:rPr>
        <w:t>运用经济、法律、行政等手段，做到和谐拆迁。创新思路举措， </w:t>
      </w:r>
      <w:r>
        <w:rPr/>
        <w:t>在完善功能和补齐短板上下功夫，加快推进雨污分流改造、污水处理设施建设，提升城市水环境治理力度，加快推进背街小</w:t>
      </w:r>
      <w:r>
        <w:rPr>
          <w:spacing w:val="-17"/>
        </w:rPr>
        <w:t>巷、老旧小区设施改造和棚户区改造，增强广大群众的获得感、</w:t>
      </w:r>
      <w:r>
        <w:rPr/>
        <w:t>幸福感、安全感。</w:t>
      </w:r>
    </w:p>
    <w:p>
      <w:pPr>
        <w:pStyle w:val="BodyText"/>
        <w:spacing w:line="300" w:lineRule="auto" w:before="6"/>
        <w:ind w:left="106" w:right="425" w:firstLine="799"/>
        <w:jc w:val="both"/>
      </w:pPr>
      <w:r>
        <w:rPr>
          <w:rFonts w:ascii="楷体_GB2312" w:hAnsi="楷体_GB2312" w:eastAsia="楷体_GB2312" w:hint="eastAsia"/>
        </w:rPr>
        <w:t>（三</w:t>
      </w:r>
      <w:r>
        <w:rPr>
          <w:rFonts w:ascii="楷体_GB2312" w:hAnsi="楷体_GB2312" w:eastAsia="楷体_GB2312" w:hint="eastAsia"/>
          <w:spacing w:val="-22"/>
        </w:rPr>
        <w:t>）</w:t>
      </w:r>
      <w:r>
        <w:rPr>
          <w:rFonts w:ascii="楷体_GB2312" w:hAnsi="楷体_GB2312" w:eastAsia="楷体_GB2312" w:hint="eastAsia"/>
          <w:spacing w:val="-7"/>
        </w:rPr>
        <w:t>担当作为，狠抓落实。</w:t>
      </w:r>
      <w:r>
        <w:rPr>
          <w:spacing w:val="-2"/>
        </w:rPr>
        <w:t>对确定的年度重点工作和工</w:t>
      </w:r>
      <w:r>
        <w:rPr/>
        <w:t>程项目，细化方案抓落实，对各项目标逐项分解，制定推进方案，明确路线图、时间表和责任人。相关责任人要扑下身子抓</w:t>
      </w:r>
      <w:r>
        <w:rPr>
          <w:spacing w:val="-15"/>
          <w:w w:val="99"/>
        </w:rPr>
        <w:t>落实，善于当“施工队长”，雷厉风行，马上行动。对待工作成</w:t>
      </w:r>
      <w:r>
        <w:rPr/>
        <w:t>效和工程质量，精益求精、好上加好，把工作落实到极致、潜</w:t>
      </w:r>
      <w:r>
        <w:rPr>
          <w:spacing w:val="-17"/>
        </w:rPr>
        <w:t>力挖掘到极致，多创造“超出预期”的佳绩；对待困难和问题， </w:t>
      </w:r>
      <w:r>
        <w:rPr/>
        <w:t>锲而不舍、久久为功，发扬钉钉子的精神，紧盯目标不松劲、不松手、不松气，找准具体的推进路径，把精力用在谋实招、办实事、解难题上。相关部门单位团结协作抓落实，完善分工</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before="41"/>
        <w:ind w:left="106"/>
      </w:pPr>
      <w:r>
        <w:rPr/>
        <w:t>协作机制，集中优势资源，合力攻坚落实，共同完成任务。</w:t>
      </w:r>
    </w:p>
    <w:p>
      <w:pPr>
        <w:pStyle w:val="BodyText"/>
        <w:spacing w:line="300" w:lineRule="auto" w:before="112"/>
        <w:ind w:left="106" w:right="422" w:firstLine="640"/>
        <w:jc w:val="both"/>
      </w:pPr>
      <w:r>
        <w:rPr>
          <w:rFonts w:ascii="楷体_GB2312" w:eastAsia="楷体_GB2312" w:hint="eastAsia"/>
        </w:rPr>
        <w:t>（四</w:t>
      </w:r>
      <w:r>
        <w:rPr>
          <w:rFonts w:ascii="楷体_GB2312" w:eastAsia="楷体_GB2312" w:hint="eastAsia"/>
          <w:spacing w:val="-15"/>
        </w:rPr>
        <w:t>）</w:t>
      </w:r>
      <w:r>
        <w:rPr>
          <w:rFonts w:ascii="楷体_GB2312" w:eastAsia="楷体_GB2312" w:hint="eastAsia"/>
          <w:spacing w:val="-4"/>
        </w:rPr>
        <w:t>强化宣传，凝聚力量。</w:t>
      </w:r>
      <w:r>
        <w:rPr>
          <w:spacing w:val="-10"/>
        </w:rPr>
        <w:t>以开展新中国成立 </w:t>
      </w:r>
      <w:r>
        <w:rPr/>
        <w:t>70</w:t>
      </w:r>
      <w:r>
        <w:rPr>
          <w:spacing w:val="-24"/>
        </w:rPr>
        <w:t> 周年庆</w:t>
      </w:r>
      <w:r>
        <w:rPr/>
        <w:t>祝活动为契机，利用各种新闻媒体，采取丰富多彩形式，充分展示全县城乡建设取得丰硕成果和巨大成就，深入广泛宣传新型城镇化的丰富内涵和美好愿景，营造全民支持和参与城乡建设的浓厚氛围，构建全社会推进新型城镇化的共识与合力。积极开展文明创建活动，不断提高居民文化素养和维护城市荣誉意识，培养城市主人翁精神，树立先进的城市理念和良好的精神风貌，动员广大居民携手共同努力，让城市更美好、生活更幸福。</w:t>
      </w:r>
    </w:p>
    <w:p>
      <w:pPr>
        <w:spacing w:after="0" w:line="300" w:lineRule="auto"/>
        <w:jc w:val="both"/>
        <w:sectPr>
          <w:pgSz w:w="11910" w:h="16840"/>
          <w:pgMar w:header="0" w:footer="1355" w:top="1580" w:bottom="1540" w:left="1480" w:right="1160"/>
        </w:sectPr>
      </w:pPr>
    </w:p>
    <w:p>
      <w:pPr>
        <w:pStyle w:val="BodyText"/>
        <w:spacing w:before="1"/>
        <w:rPr>
          <w:sz w:val="12"/>
        </w:rPr>
      </w:pPr>
    </w:p>
    <w:p>
      <w:pPr>
        <w:pStyle w:val="Heading1"/>
        <w:spacing w:line="641" w:lineRule="exact"/>
        <w:ind w:right="832"/>
      </w:pPr>
      <w:r>
        <w:rPr/>
        <w:t>郯城县人民政府办公室</w:t>
      </w:r>
    </w:p>
    <w:p>
      <w:pPr>
        <w:spacing w:line="172" w:lineRule="auto" w:before="37"/>
        <w:ind w:left="291" w:right="613" w:firstLine="0"/>
        <w:jc w:val="center"/>
        <w:rPr>
          <w:rFonts w:ascii="方正小标宋简体" w:hAnsi="方正小标宋简体" w:eastAsia="方正小标宋简体" w:hint="eastAsia"/>
          <w:sz w:val="44"/>
        </w:rPr>
      </w:pPr>
      <w:r>
        <w:rPr>
          <w:rFonts w:ascii="方正小标宋简体" w:hAnsi="方正小标宋简体" w:eastAsia="方正小标宋简体" w:hint="eastAsia"/>
          <w:sz w:val="44"/>
        </w:rPr>
        <w:t>关于印发郯城县政务服务事项“一次办好” 标准化指南（试行）的通知</w:t>
      </w:r>
    </w:p>
    <w:p>
      <w:pPr>
        <w:pStyle w:val="BodyText"/>
        <w:spacing w:before="14"/>
        <w:rPr>
          <w:rFonts w:ascii="方正小标宋简体"/>
          <w:sz w:val="34"/>
        </w:rPr>
      </w:pPr>
    </w:p>
    <w:p>
      <w:pPr>
        <w:pStyle w:val="BodyText"/>
        <w:spacing w:before="0"/>
        <w:ind w:left="510" w:right="830"/>
        <w:jc w:val="center"/>
        <w:rPr>
          <w:rFonts w:ascii="楷体_GB2312" w:eastAsia="楷体_GB2312" w:hint="eastAsia"/>
        </w:rPr>
      </w:pPr>
      <w:r>
        <w:rPr>
          <w:rFonts w:ascii="楷体_GB2312" w:eastAsia="楷体_GB2312" w:hint="eastAsia"/>
        </w:rPr>
        <w:t>郯政办字〔2019〕23号</w:t>
      </w:r>
    </w:p>
    <w:p>
      <w:pPr>
        <w:pStyle w:val="BodyText"/>
        <w:spacing w:before="0"/>
        <w:rPr>
          <w:rFonts w:ascii="楷体_GB2312"/>
        </w:rPr>
      </w:pPr>
    </w:p>
    <w:p>
      <w:pPr>
        <w:pStyle w:val="BodyText"/>
        <w:spacing w:before="6"/>
        <w:rPr>
          <w:rFonts w:ascii="楷体_GB2312"/>
          <w:sz w:val="23"/>
        </w:rPr>
      </w:pPr>
    </w:p>
    <w:p>
      <w:pPr>
        <w:pStyle w:val="BodyText"/>
        <w:spacing w:line="300" w:lineRule="auto" w:before="1"/>
        <w:ind w:left="106" w:right="431"/>
        <w:jc w:val="both"/>
      </w:pPr>
      <w:r>
        <w:rPr>
          <w:w w:val="95"/>
        </w:rPr>
        <w:t>各乡镇人民政府、郯城街道办事处，县直有关部门、单位，郯 城经济开发区管委会，马陵山景区管委会，新村银杏产业开发 </w:t>
      </w:r>
      <w:r>
        <w:rPr/>
        <w:t>区管委会：</w:t>
      </w:r>
    </w:p>
    <w:p>
      <w:pPr>
        <w:pStyle w:val="BodyText"/>
        <w:spacing w:line="300" w:lineRule="auto"/>
        <w:ind w:left="106" w:right="270" w:firstLine="640"/>
      </w:pPr>
      <w:r>
        <w:rPr>
          <w:spacing w:val="1"/>
          <w:w w:val="95"/>
        </w:rPr>
        <w:t>《郯城县政务服务事项“一次办好”标准化指南</w:t>
      </w:r>
      <w:r>
        <w:rPr>
          <w:spacing w:val="4"/>
          <w:w w:val="95"/>
        </w:rPr>
        <w:t>（试行</w:t>
      </w:r>
      <w:r>
        <w:rPr>
          <w:spacing w:val="-154"/>
          <w:w w:val="95"/>
        </w:rPr>
        <w:t>）</w:t>
      </w:r>
      <w:r>
        <w:rPr>
          <w:w w:val="95"/>
        </w:rPr>
        <w:t>》 </w:t>
      </w:r>
      <w:r>
        <w:rPr/>
        <w:t>已经县政府同意，现印发给你们，请认真贯彻执行。</w:t>
      </w:r>
    </w:p>
    <w:p>
      <w:pPr>
        <w:pStyle w:val="BodyText"/>
        <w:rPr>
          <w:sz w:val="40"/>
        </w:rPr>
      </w:pPr>
    </w:p>
    <w:p>
      <w:pPr>
        <w:pStyle w:val="BodyText"/>
        <w:spacing w:line="300" w:lineRule="auto" w:before="0"/>
        <w:ind w:left="6141" w:right="428" w:hanging="504"/>
      </w:pPr>
      <w:r>
        <w:rPr>
          <w:spacing w:val="-2"/>
        </w:rPr>
        <w:t>郯城县人民政府办公室</w:t>
      </w:r>
      <w:r>
        <w:rPr/>
        <w:t>2019</w:t>
      </w:r>
      <w:r>
        <w:rPr>
          <w:spacing w:val="-54"/>
        </w:rPr>
        <w:t> 年 </w:t>
      </w:r>
      <w:r>
        <w:rPr/>
        <w:t>4</w:t>
      </w:r>
      <w:r>
        <w:rPr>
          <w:spacing w:val="-54"/>
        </w:rPr>
        <w:t> 月 </w:t>
      </w:r>
      <w:r>
        <w:rPr/>
        <w:t>30</w:t>
      </w:r>
      <w:r>
        <w:rPr>
          <w:spacing w:val="-41"/>
        </w:rPr>
        <w:t> 日</w:t>
      </w:r>
    </w:p>
    <w:p>
      <w:pPr>
        <w:pStyle w:val="BodyText"/>
        <w:spacing w:before="0"/>
        <w:rPr>
          <w:sz w:val="36"/>
        </w:rPr>
      </w:pPr>
    </w:p>
    <w:p>
      <w:pPr>
        <w:pStyle w:val="BodyText"/>
        <w:spacing w:before="7"/>
        <w:rPr>
          <w:sz w:val="29"/>
        </w:rPr>
      </w:pPr>
    </w:p>
    <w:p>
      <w:pPr>
        <w:pStyle w:val="Heading1"/>
        <w:spacing w:line="669" w:lineRule="exact" w:before="1"/>
        <w:ind w:left="54" w:right="376"/>
      </w:pPr>
      <w:r>
        <w:rPr/>
        <w:t>郯城县政务服务事项“一次办好”标准化指南</w:t>
      </w:r>
    </w:p>
    <w:p>
      <w:pPr>
        <w:spacing w:line="669" w:lineRule="exact" w:before="0"/>
        <w:ind w:left="510" w:right="831" w:firstLine="0"/>
        <w:jc w:val="center"/>
        <w:rPr>
          <w:rFonts w:ascii="方正小标宋简体" w:eastAsia="方正小标宋简体" w:hint="eastAsia"/>
          <w:sz w:val="44"/>
        </w:rPr>
      </w:pPr>
      <w:r>
        <w:rPr>
          <w:rFonts w:ascii="方正小标宋简体" w:eastAsia="方正小标宋简体" w:hint="eastAsia"/>
          <w:sz w:val="44"/>
        </w:rPr>
        <w:t>（试行）</w:t>
      </w:r>
    </w:p>
    <w:p>
      <w:pPr>
        <w:pStyle w:val="BodyText"/>
        <w:spacing w:before="15"/>
        <w:rPr>
          <w:rFonts w:ascii="方正小标宋简体"/>
          <w:sz w:val="30"/>
        </w:rPr>
      </w:pPr>
    </w:p>
    <w:p>
      <w:pPr>
        <w:pStyle w:val="BodyText"/>
        <w:spacing w:line="300" w:lineRule="auto" w:before="0"/>
        <w:ind w:left="106" w:right="428"/>
        <w:jc w:val="both"/>
      </w:pPr>
      <w:r>
        <w:rPr/>
        <w:t>为提高政务服务效能，有效增强实现“一次办好、群众满意” </w:t>
      </w:r>
      <w:r>
        <w:rPr>
          <w:spacing w:val="-14"/>
          <w:w w:val="99"/>
        </w:rPr>
        <w:t>的工作目标，切实打通服务群众“最后一公里”，根据省、市相</w:t>
      </w:r>
      <w:r>
        <w:rPr/>
        <w:t>关要求，特制定“一次办好”标准化指南。</w:t>
      </w:r>
    </w:p>
    <w:p>
      <w:pPr>
        <w:pStyle w:val="BodyText"/>
        <w:spacing w:before="3"/>
        <w:ind w:left="747"/>
        <w:rPr>
          <w:rFonts w:ascii="黑体" w:eastAsia="黑体" w:hint="eastAsia"/>
        </w:rPr>
      </w:pPr>
      <w:r>
        <w:rPr>
          <w:rFonts w:ascii="黑体" w:eastAsia="黑体" w:hint="eastAsia"/>
        </w:rPr>
        <w:t>一、总体要求</w:t>
      </w:r>
    </w:p>
    <w:p>
      <w:pPr>
        <w:spacing w:after="0"/>
        <w:rPr>
          <w:rFonts w:ascii="黑体" w:eastAsia="黑体" w:hint="eastAsia"/>
        </w:rPr>
        <w:sectPr>
          <w:pgSz w:w="11910" w:h="16840"/>
          <w:pgMar w:header="0" w:footer="1355" w:top="1580" w:bottom="1540" w:left="1480" w:right="1160"/>
        </w:sectPr>
      </w:pPr>
    </w:p>
    <w:p>
      <w:pPr>
        <w:pStyle w:val="BodyText"/>
        <w:spacing w:before="9"/>
        <w:rPr>
          <w:rFonts w:ascii="黑体"/>
          <w:sz w:val="23"/>
        </w:rPr>
      </w:pPr>
    </w:p>
    <w:p>
      <w:pPr>
        <w:pStyle w:val="BodyText"/>
        <w:spacing w:line="300" w:lineRule="auto" w:before="41"/>
        <w:ind w:left="106" w:right="416" w:firstLine="640"/>
        <w:jc w:val="both"/>
      </w:pPr>
      <w:r>
        <w:rPr>
          <w:spacing w:val="4"/>
          <w:w w:val="95"/>
        </w:rPr>
        <w:t>深入贯彻党的十九大精神，以习近平新时代中国特色社会 </w:t>
      </w:r>
      <w:r>
        <w:rPr/>
        <w:t>主义思想为指导，通过整合资源、优化流程、拓展服务，融合线上信息系统和线下窗口服务，实现从提交申请到获取结果文书全过程“零跑腿”或“只跑一次”的审批标准化服务模式。</w:t>
      </w:r>
    </w:p>
    <w:p>
      <w:pPr>
        <w:pStyle w:val="BodyText"/>
        <w:ind w:left="747"/>
        <w:rPr>
          <w:rFonts w:ascii="黑体" w:eastAsia="黑体" w:hint="eastAsia"/>
        </w:rPr>
      </w:pPr>
      <w:r>
        <w:rPr>
          <w:rFonts w:ascii="黑体" w:eastAsia="黑体" w:hint="eastAsia"/>
        </w:rPr>
        <w:t>二、基本原则</w:t>
      </w:r>
    </w:p>
    <w:p>
      <w:pPr>
        <w:pStyle w:val="BodyText"/>
        <w:spacing w:line="300" w:lineRule="auto" w:before="149"/>
        <w:ind w:left="106" w:right="266" w:firstLine="640"/>
      </w:pPr>
      <w:r>
        <w:rPr>
          <w:spacing w:val="-23"/>
          <w:w w:val="99"/>
        </w:rPr>
        <w:t>——法治原则。运用法治思维和法治方式推进“一次办好”，</w:t>
      </w:r>
      <w:r>
        <w:rPr/>
        <w:t>按照法律法规和有关规定，对政务服务全流程建章立制，统一规范标准，优化再造流程，缩减办理时限，降低办理费用，努力构建权责一致、公开透明、服务优质的“一次办好”运行机制。</w:t>
      </w:r>
    </w:p>
    <w:p>
      <w:pPr>
        <w:pStyle w:val="BodyText"/>
        <w:spacing w:line="300" w:lineRule="auto" w:before="5"/>
        <w:ind w:left="106" w:right="416" w:firstLine="640"/>
        <w:jc w:val="both"/>
      </w:pPr>
      <w:r>
        <w:rPr>
          <w:spacing w:val="4"/>
          <w:w w:val="95"/>
        </w:rPr>
        <w:t>——便民原则。以提升企业群众满意度为根本出发点和落 </w:t>
      </w:r>
      <w:r>
        <w:rPr/>
        <w:t>脚点，积极推行“马上办、网上办、就近办、一次办”服务模式，在法定范围内，简化受理条件，压缩申请资料，用最短的时间、最优的服务、最高的标准，一次性把服务企业和群众的事项办理好。</w:t>
      </w:r>
    </w:p>
    <w:p>
      <w:pPr>
        <w:pStyle w:val="BodyText"/>
        <w:spacing w:line="300" w:lineRule="auto" w:before="4"/>
        <w:ind w:left="106" w:right="427" w:firstLine="640"/>
        <w:jc w:val="both"/>
      </w:pPr>
      <w:r>
        <w:rPr>
          <w:spacing w:val="-7"/>
          <w:w w:val="99"/>
        </w:rPr>
        <w:t>——共享原则。突出抓好“互联网+政务服务”，在山东政</w:t>
      </w:r>
      <w:r>
        <w:rPr/>
        <w:t>务服务网总框架下，大力优化政务服务体系，加强审批服务信息数据的统一归集、共享与应用，打破信息孤岛，实现系统兼容、数据互通、信息共享，促进实体大厅与网上审批平台充分融合，为“一次办好”提供强有力的数据支撑。</w:t>
      </w:r>
    </w:p>
    <w:p>
      <w:pPr>
        <w:pStyle w:val="BodyText"/>
        <w:spacing w:line="300" w:lineRule="auto"/>
        <w:ind w:left="106" w:right="427" w:firstLine="640"/>
        <w:jc w:val="both"/>
      </w:pPr>
      <w:r>
        <w:rPr>
          <w:spacing w:val="-17"/>
        </w:rPr>
        <w:t>——创新原则。以企业和群众需求为目标，结合我县实际， </w:t>
      </w:r>
      <w:r>
        <w:rPr>
          <w:spacing w:val="-16"/>
        </w:rPr>
        <w:t>突出前瞻性、先进性、特色性，认真学习借鉴先进的外地经验， </w:t>
      </w:r>
      <w:r>
        <w:rPr/>
        <w:t>有效运用现代技术，不断完善“一次办好”标准体系，降低制</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before="41"/>
        <w:ind w:left="106"/>
      </w:pPr>
      <w:r>
        <w:rPr/>
        <w:t>度性交易成本。</w:t>
      </w:r>
    </w:p>
    <w:p>
      <w:pPr>
        <w:pStyle w:val="BodyText"/>
        <w:spacing w:before="112"/>
        <w:ind w:left="747"/>
        <w:rPr>
          <w:rFonts w:ascii="黑体" w:eastAsia="黑体" w:hint="eastAsia"/>
        </w:rPr>
      </w:pPr>
      <w:r>
        <w:rPr>
          <w:rFonts w:ascii="黑体" w:eastAsia="黑体" w:hint="eastAsia"/>
        </w:rPr>
        <w:t>三、适用范围</w:t>
      </w:r>
    </w:p>
    <w:p>
      <w:pPr>
        <w:pStyle w:val="BodyText"/>
        <w:spacing w:line="300" w:lineRule="auto" w:before="149"/>
        <w:ind w:left="106" w:right="416" w:firstLine="640"/>
      </w:pPr>
      <w:r>
        <w:rPr>
          <w:spacing w:val="4"/>
          <w:w w:val="95"/>
        </w:rPr>
        <w:t>全县依申请行政权力事项和依申请公共服务事项，政府其 </w:t>
      </w:r>
      <w:r>
        <w:rPr/>
        <w:t>他行政行为具备“一次办好”条件的可参照执行。</w:t>
      </w:r>
    </w:p>
    <w:p>
      <w:pPr>
        <w:pStyle w:val="ListParagraph"/>
        <w:numPr>
          <w:ilvl w:val="0"/>
          <w:numId w:val="1"/>
        </w:numPr>
        <w:tabs>
          <w:tab w:pos="926" w:val="left" w:leader="none"/>
        </w:tabs>
        <w:spacing w:line="300" w:lineRule="auto" w:before="2" w:after="0"/>
        <w:ind w:left="106" w:right="426" w:firstLine="640"/>
        <w:jc w:val="both"/>
        <w:rPr>
          <w:sz w:val="32"/>
        </w:rPr>
      </w:pPr>
      <w:r>
        <w:rPr>
          <w:spacing w:val="-7"/>
          <w:sz w:val="32"/>
        </w:rPr>
        <w:t>依申请行政权力事项。包括行政许可、行政确认、行政裁</w:t>
      </w:r>
      <w:r>
        <w:rPr>
          <w:sz w:val="32"/>
        </w:rPr>
        <w:t>决、行政给付等四类行政权力事项，以及其他行政权力事项中的依申请事项。</w:t>
      </w:r>
    </w:p>
    <w:p>
      <w:pPr>
        <w:pStyle w:val="ListParagraph"/>
        <w:numPr>
          <w:ilvl w:val="0"/>
          <w:numId w:val="1"/>
        </w:numPr>
        <w:tabs>
          <w:tab w:pos="950" w:val="left" w:leader="none"/>
        </w:tabs>
        <w:spacing w:line="300" w:lineRule="auto" w:before="3" w:after="0"/>
        <w:ind w:left="106" w:right="424" w:firstLine="640"/>
        <w:jc w:val="left"/>
        <w:rPr>
          <w:sz w:val="32"/>
        </w:rPr>
      </w:pPr>
      <w:r>
        <w:rPr>
          <w:spacing w:val="-10"/>
          <w:sz w:val="32"/>
        </w:rPr>
        <w:t>依申请公共服务事项。需要企业和群众提交申请，由政府</w:t>
      </w:r>
      <w:r>
        <w:rPr>
          <w:sz w:val="32"/>
        </w:rPr>
        <w:t>相关部门（单位）受理的服务事项。</w:t>
      </w:r>
    </w:p>
    <w:p>
      <w:pPr>
        <w:pStyle w:val="BodyText"/>
        <w:ind w:left="747"/>
        <w:rPr>
          <w:rFonts w:ascii="黑体" w:eastAsia="黑体" w:hint="eastAsia"/>
        </w:rPr>
      </w:pPr>
      <w:r>
        <w:rPr>
          <w:rFonts w:ascii="黑体" w:eastAsia="黑体" w:hint="eastAsia"/>
        </w:rPr>
        <w:t>四、办理流程</w:t>
      </w:r>
    </w:p>
    <w:p>
      <w:pPr>
        <w:pStyle w:val="BodyText"/>
        <w:spacing w:before="149"/>
        <w:ind w:left="747"/>
        <w:rPr>
          <w:rFonts w:ascii="楷体" w:eastAsia="楷体" w:hint="eastAsia"/>
        </w:rPr>
      </w:pPr>
      <w:r>
        <w:rPr>
          <w:rFonts w:ascii="楷体" w:eastAsia="楷体" w:hint="eastAsia"/>
        </w:rPr>
        <w:t>（一）基本流程</w:t>
      </w:r>
    </w:p>
    <w:p>
      <w:pPr>
        <w:pStyle w:val="ListParagraph"/>
        <w:numPr>
          <w:ilvl w:val="0"/>
          <w:numId w:val="2"/>
        </w:numPr>
        <w:tabs>
          <w:tab w:pos="1070" w:val="left" w:leader="none"/>
        </w:tabs>
        <w:spacing w:line="300" w:lineRule="auto" w:before="149" w:after="0"/>
        <w:ind w:left="106" w:right="419" w:firstLine="640"/>
        <w:jc w:val="both"/>
        <w:rPr>
          <w:sz w:val="32"/>
        </w:rPr>
      </w:pPr>
      <w:r>
        <w:rPr>
          <w:rFonts w:ascii="楷体_GB2312" w:eastAsia="楷体_GB2312" w:hint="eastAsia"/>
          <w:spacing w:val="4"/>
          <w:w w:val="95"/>
          <w:sz w:val="32"/>
        </w:rPr>
        <w:t>受理。</w:t>
      </w:r>
      <w:r>
        <w:rPr>
          <w:spacing w:val="4"/>
          <w:w w:val="95"/>
          <w:sz w:val="32"/>
        </w:rPr>
        <w:t>对照审批事项所需要提交的材料目录，逐项审核 </w:t>
      </w:r>
      <w:r>
        <w:rPr>
          <w:sz w:val="32"/>
        </w:rPr>
        <w:t>申请材料的准确性和完整性，确认填写是否准确、规范。对通过共享方式获取的材料，由提供方负责共享数据的真实性、准确性，获取方负责材料的完整性、规范性。</w:t>
      </w:r>
    </w:p>
    <w:p>
      <w:pPr>
        <w:pStyle w:val="BodyText"/>
        <w:spacing w:line="300" w:lineRule="auto" w:before="5"/>
        <w:ind w:left="106" w:right="416" w:firstLine="640"/>
        <w:jc w:val="both"/>
      </w:pPr>
      <w:r>
        <w:rPr>
          <w:spacing w:val="4"/>
          <w:w w:val="95"/>
        </w:rPr>
        <w:t>补正材料。实行一次性告知制度。对申请材料不齐全或不 </w:t>
      </w:r>
      <w:r>
        <w:rPr/>
        <w:t>符合法定形式的，应现场提供或通过政务服务网、电子邮件、</w:t>
      </w:r>
      <w:r>
        <w:rPr>
          <w:spacing w:val="-16"/>
        </w:rPr>
        <w:t>传真、邮政寄递等方式发送《补正材料通知书》，一次性告知申请人需补充材料的内容、时间期限等。</w:t>
      </w:r>
    </w:p>
    <w:p>
      <w:pPr>
        <w:pStyle w:val="BodyText"/>
        <w:spacing w:line="300" w:lineRule="auto" w:before="1"/>
        <w:ind w:left="106" w:right="427" w:firstLine="640"/>
        <w:jc w:val="both"/>
      </w:pPr>
      <w:r>
        <w:rPr>
          <w:spacing w:val="-16"/>
        </w:rPr>
        <w:t>作出受理决定。能即时办理的，可直接出具相应结果文书， </w:t>
      </w:r>
      <w:r>
        <w:rPr>
          <w:spacing w:val="-17"/>
        </w:rPr>
        <w:t>不再出具《受理通知书》。不能即时办理的，但准予受理的，应</w:t>
      </w:r>
      <w:r>
        <w:rPr>
          <w:spacing w:val="-27"/>
        </w:rPr>
        <w:t>出具《受理通知书》；不予受理的，应出具《不予受理通知书》， </w:t>
      </w:r>
      <w:r>
        <w:rPr/>
        <w:t>并注明不予受理的理由和依据。</w:t>
      </w:r>
    </w:p>
    <w:p>
      <w:pPr>
        <w:spacing w:after="0" w:line="300" w:lineRule="auto"/>
        <w:jc w:val="both"/>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16" w:firstLine="640"/>
        <w:jc w:val="both"/>
      </w:pPr>
      <w:r>
        <w:rPr>
          <w:spacing w:val="4"/>
          <w:w w:val="95"/>
        </w:rPr>
        <w:t>开展容缺受理。对于次要条件或次要手续有欠缺的申请材 </w:t>
      </w:r>
      <w:r>
        <w:rPr/>
        <w:t>料，应先予受理或办理，在补齐材料后作出审查决定。对可以容缺受理的条件、事项、范围、内容、手续、材料等，应当在政务服务网上予以公开。对欠缺的材料，应当一次性告知，申请人可通过网络、邮政寄递等方式将材料补齐，避免“多跑一</w:t>
      </w:r>
      <w:r>
        <w:rPr>
          <w:spacing w:val="-54"/>
        </w:rPr>
        <w:t>次”。</w:t>
      </w:r>
    </w:p>
    <w:p>
      <w:pPr>
        <w:pStyle w:val="ListParagraph"/>
        <w:numPr>
          <w:ilvl w:val="0"/>
          <w:numId w:val="2"/>
        </w:numPr>
        <w:tabs>
          <w:tab w:pos="1070" w:val="left" w:leader="none"/>
        </w:tabs>
        <w:spacing w:line="300" w:lineRule="auto" w:before="4" w:after="0"/>
        <w:ind w:left="106" w:right="419" w:firstLine="640"/>
        <w:jc w:val="both"/>
        <w:rPr>
          <w:sz w:val="32"/>
        </w:rPr>
      </w:pPr>
      <w:r>
        <w:rPr>
          <w:rFonts w:ascii="楷体_GB2312" w:eastAsia="楷体_GB2312" w:hint="eastAsia"/>
          <w:spacing w:val="4"/>
          <w:w w:val="95"/>
          <w:sz w:val="32"/>
        </w:rPr>
        <w:t>审查。</w:t>
      </w:r>
      <w:r>
        <w:rPr>
          <w:spacing w:val="4"/>
          <w:w w:val="95"/>
          <w:sz w:val="32"/>
        </w:rPr>
        <w:t>应在规定的时间内，对申请人提交的申请材料是 </w:t>
      </w:r>
      <w:r>
        <w:rPr>
          <w:sz w:val="32"/>
        </w:rPr>
        <w:t>否齐全、是否符合法定形式进行审查，并出具审查意见。依法经下级决定机构审查后报上级的事项，下级决定机构应在承诺</w:t>
      </w:r>
      <w:r>
        <w:rPr>
          <w:spacing w:val="-15"/>
          <w:sz w:val="32"/>
        </w:rPr>
        <w:t>时限内审查并出具初审意见，及时上报。实施实地踏勘的事项， </w:t>
      </w:r>
      <w:r>
        <w:rPr>
          <w:sz w:val="32"/>
        </w:rPr>
        <w:t>应立足数据共享，采用联合踏勘、联合验收等方式完成。实施专家评审、技术审查的事项，应在规定的时限内完成评审、审查。</w:t>
      </w:r>
    </w:p>
    <w:p>
      <w:pPr>
        <w:pStyle w:val="ListParagraph"/>
        <w:numPr>
          <w:ilvl w:val="0"/>
          <w:numId w:val="2"/>
        </w:numPr>
        <w:tabs>
          <w:tab w:pos="1070" w:val="left" w:leader="none"/>
        </w:tabs>
        <w:spacing w:line="300" w:lineRule="auto" w:before="5" w:after="0"/>
        <w:ind w:left="106" w:right="418" w:firstLine="640"/>
        <w:jc w:val="both"/>
        <w:rPr>
          <w:sz w:val="32"/>
        </w:rPr>
      </w:pPr>
      <w:r>
        <w:rPr>
          <w:rFonts w:ascii="楷体_GB2312" w:eastAsia="楷体_GB2312" w:hint="eastAsia"/>
          <w:spacing w:val="4"/>
          <w:w w:val="95"/>
          <w:sz w:val="32"/>
        </w:rPr>
        <w:t>决定。</w:t>
      </w:r>
      <w:r>
        <w:rPr>
          <w:spacing w:val="4"/>
          <w:w w:val="95"/>
          <w:sz w:val="32"/>
        </w:rPr>
        <w:t>在完成书面审查后，能当场作出决定的，应当场 </w:t>
      </w:r>
      <w:r>
        <w:rPr>
          <w:sz w:val="32"/>
        </w:rPr>
        <w:t>作出决定；不能当场作出决定的，应当在法定期限内按照规定程序作出决定。准予决定的，制作结果文书；不准予决定的， </w:t>
      </w:r>
      <w:r>
        <w:rPr>
          <w:spacing w:val="-17"/>
          <w:sz w:val="32"/>
        </w:rPr>
        <w:t>制作《不准予决定书》，书面说明不准予决定的理由，并告知申请人享有依法申请行政复议或者提起行政诉讼的权利。</w:t>
      </w:r>
    </w:p>
    <w:p>
      <w:pPr>
        <w:pStyle w:val="ListParagraph"/>
        <w:numPr>
          <w:ilvl w:val="0"/>
          <w:numId w:val="2"/>
        </w:numPr>
        <w:tabs>
          <w:tab w:pos="1070" w:val="left" w:leader="none"/>
        </w:tabs>
        <w:spacing w:line="300" w:lineRule="auto" w:before="3" w:after="0"/>
        <w:ind w:left="106" w:right="419" w:firstLine="640"/>
        <w:jc w:val="left"/>
        <w:rPr>
          <w:sz w:val="32"/>
        </w:rPr>
      </w:pPr>
      <w:r>
        <w:rPr>
          <w:rFonts w:ascii="楷体_GB2312" w:eastAsia="楷体_GB2312" w:hint="eastAsia"/>
          <w:spacing w:val="4"/>
          <w:w w:val="95"/>
          <w:sz w:val="32"/>
        </w:rPr>
        <w:t>送达</w:t>
      </w:r>
      <w:r>
        <w:rPr>
          <w:rFonts w:ascii="仿宋_GB2312" w:eastAsia="仿宋_GB2312" w:hint="eastAsia"/>
          <w:spacing w:val="4"/>
          <w:w w:val="95"/>
          <w:sz w:val="32"/>
        </w:rPr>
        <w:t>。</w:t>
      </w:r>
      <w:r>
        <w:rPr>
          <w:spacing w:val="4"/>
          <w:w w:val="95"/>
          <w:sz w:val="32"/>
        </w:rPr>
        <w:t>结果文书可现场打印，或通过政务服务网、电子 </w:t>
      </w:r>
      <w:r>
        <w:rPr>
          <w:sz w:val="32"/>
        </w:rPr>
        <w:t>邮件、传真、自助终端或移动终端、邮政寄递等方式送达。</w:t>
      </w:r>
    </w:p>
    <w:p>
      <w:pPr>
        <w:pStyle w:val="BodyText"/>
        <w:spacing w:before="1"/>
        <w:ind w:left="747"/>
        <w:rPr>
          <w:rFonts w:ascii="楷体" w:eastAsia="楷体" w:hint="eastAsia"/>
        </w:rPr>
      </w:pPr>
      <w:r>
        <w:rPr>
          <w:rFonts w:ascii="楷体" w:eastAsia="楷体" w:hint="eastAsia"/>
        </w:rPr>
        <w:t>（二）优化流程</w:t>
      </w:r>
    </w:p>
    <w:p>
      <w:pPr>
        <w:pStyle w:val="BodyText"/>
        <w:spacing w:line="300" w:lineRule="auto" w:before="151"/>
        <w:ind w:left="106" w:right="416" w:firstLine="640"/>
      </w:pPr>
      <w:r>
        <w:rPr>
          <w:spacing w:val="4"/>
          <w:w w:val="95"/>
        </w:rPr>
        <w:t>根据事项办理时涉及决定机构的数量和职责，分为单一审 </w:t>
      </w:r>
      <w:r>
        <w:rPr/>
        <w:t>批服务流程和共同审批服务流程。</w:t>
      </w:r>
    </w:p>
    <w:p>
      <w:pPr>
        <w:spacing w:after="0" w:line="300" w:lineRule="auto"/>
        <w:sectPr>
          <w:pgSz w:w="11910" w:h="16840"/>
          <w:pgMar w:header="0" w:footer="1355" w:top="1580" w:bottom="1540" w:left="1480" w:right="1160"/>
        </w:sectPr>
      </w:pPr>
    </w:p>
    <w:p>
      <w:pPr>
        <w:pStyle w:val="BodyText"/>
        <w:spacing w:before="10"/>
        <w:rPr>
          <w:sz w:val="21"/>
        </w:rPr>
      </w:pPr>
    </w:p>
    <w:p>
      <w:pPr>
        <w:pStyle w:val="ListParagraph"/>
        <w:numPr>
          <w:ilvl w:val="0"/>
          <w:numId w:val="3"/>
        </w:numPr>
        <w:tabs>
          <w:tab w:pos="926" w:val="left" w:leader="none"/>
        </w:tabs>
        <w:spacing w:line="300" w:lineRule="auto" w:before="41" w:after="0"/>
        <w:ind w:left="106" w:right="425" w:firstLine="640"/>
        <w:jc w:val="both"/>
        <w:rPr>
          <w:sz w:val="32"/>
        </w:rPr>
      </w:pPr>
      <w:r>
        <w:rPr>
          <w:spacing w:val="-10"/>
          <w:sz w:val="32"/>
        </w:rPr>
        <w:t>单一审批服务流程。是指仅由一个部门或单位即可完成事</w:t>
      </w:r>
      <w:r>
        <w:rPr>
          <w:sz w:val="32"/>
        </w:rPr>
        <w:t>项办理的流程。对单一审批服务流程，从流程设置合理性，功能、方法、对象是否重复，审批环节先后顺序合理性三个方面着手，优化审批系统，简化申请材料，精简审批环节，实现即办、快办目标。</w:t>
      </w:r>
    </w:p>
    <w:p>
      <w:pPr>
        <w:pStyle w:val="ListParagraph"/>
        <w:numPr>
          <w:ilvl w:val="0"/>
          <w:numId w:val="3"/>
        </w:numPr>
        <w:tabs>
          <w:tab w:pos="950" w:val="left" w:leader="none"/>
        </w:tabs>
        <w:spacing w:line="300" w:lineRule="auto" w:before="2" w:after="0"/>
        <w:ind w:left="106" w:right="425" w:firstLine="640"/>
        <w:jc w:val="both"/>
        <w:rPr>
          <w:sz w:val="32"/>
        </w:rPr>
      </w:pPr>
      <w:r>
        <w:rPr>
          <w:spacing w:val="-11"/>
          <w:sz w:val="32"/>
        </w:rPr>
        <w:t>共同审批服务流程。是指需要多个部门、单位共同协作才</w:t>
      </w:r>
      <w:r>
        <w:rPr>
          <w:sz w:val="32"/>
        </w:rPr>
        <w:t>能完成事项办理的流程。共同审批服务流程事项多跨部门、跨领域、跨层级，如工程建设项目、市场准入等事项。对共同审批服务流程，要按照“简、放、并、转、调、集”的原则进行全链条梳理，优化审批流程，压缩审批时间，达到限时办结要求。</w:t>
      </w:r>
    </w:p>
    <w:p>
      <w:pPr>
        <w:pStyle w:val="BodyText"/>
        <w:spacing w:before="4"/>
        <w:ind w:left="747"/>
        <w:rPr>
          <w:rFonts w:ascii="黑体" w:eastAsia="黑体" w:hint="eastAsia"/>
        </w:rPr>
      </w:pPr>
      <w:r>
        <w:rPr>
          <w:rFonts w:ascii="黑体" w:eastAsia="黑体" w:hint="eastAsia"/>
        </w:rPr>
        <w:t>五、具体实施</w:t>
      </w:r>
    </w:p>
    <w:p>
      <w:pPr>
        <w:pStyle w:val="BodyText"/>
        <w:spacing w:before="152"/>
        <w:ind w:left="747"/>
      </w:pPr>
      <w:r>
        <w:rPr/>
        <w:t>分四个阶段进行：</w:t>
      </w:r>
    </w:p>
    <w:p>
      <w:pPr>
        <w:pStyle w:val="BodyText"/>
        <w:spacing w:before="112"/>
        <w:ind w:left="747"/>
        <w:rPr>
          <w:rFonts w:ascii="楷体" w:eastAsia="楷体" w:hint="eastAsia"/>
        </w:rPr>
      </w:pPr>
      <w:r>
        <w:rPr>
          <w:rFonts w:ascii="楷体" w:eastAsia="楷体" w:hint="eastAsia"/>
        </w:rPr>
        <w:t>（一）动员部署阶段（5</w:t>
      </w:r>
      <w:r>
        <w:rPr>
          <w:rFonts w:ascii="楷体" w:eastAsia="楷体" w:hint="eastAsia"/>
          <w:spacing w:val="-54"/>
        </w:rPr>
        <w:t> 月 </w:t>
      </w:r>
      <w:r>
        <w:rPr>
          <w:rFonts w:ascii="楷体" w:eastAsia="楷体" w:hint="eastAsia"/>
        </w:rPr>
        <w:t>5</w:t>
      </w:r>
      <w:r>
        <w:rPr>
          <w:rFonts w:ascii="楷体" w:eastAsia="楷体" w:hint="eastAsia"/>
          <w:spacing w:val="-28"/>
        </w:rPr>
        <w:t> 日前</w:t>
      </w:r>
      <w:r>
        <w:rPr>
          <w:rFonts w:ascii="楷体" w:eastAsia="楷体" w:hint="eastAsia"/>
        </w:rPr>
        <w:t>）</w:t>
      </w:r>
    </w:p>
    <w:p>
      <w:pPr>
        <w:pStyle w:val="BodyText"/>
        <w:spacing w:before="149"/>
        <w:ind w:left="747"/>
      </w:pPr>
      <w:r>
        <w:rPr/>
        <w:t>制定出台《郯城县政务服务事项“一次办好”标准化指南</w:t>
      </w:r>
    </w:p>
    <w:p>
      <w:pPr>
        <w:pStyle w:val="BodyText"/>
        <w:spacing w:before="114"/>
        <w:ind w:left="106"/>
      </w:pPr>
      <w:r>
        <w:rPr/>
        <w:t>（试行</w:t>
      </w:r>
      <w:r>
        <w:rPr>
          <w:spacing w:val="-161"/>
        </w:rPr>
        <w:t>）</w:t>
      </w:r>
      <w:r>
        <w:rPr>
          <w:spacing w:val="-16"/>
        </w:rPr>
        <w:t>》，在全县进行动员部署。</w:t>
      </w:r>
    </w:p>
    <w:p>
      <w:pPr>
        <w:pStyle w:val="BodyText"/>
        <w:spacing w:before="112"/>
        <w:ind w:left="747"/>
        <w:rPr>
          <w:rFonts w:ascii="楷体" w:eastAsia="楷体" w:hint="eastAsia"/>
        </w:rPr>
      </w:pPr>
      <w:r>
        <w:rPr>
          <w:rFonts w:ascii="楷体" w:eastAsia="楷体" w:hint="eastAsia"/>
        </w:rPr>
        <w:t>（二）梳理汇总阶段（5</w:t>
      </w:r>
      <w:r>
        <w:rPr>
          <w:rFonts w:ascii="楷体" w:eastAsia="楷体" w:hint="eastAsia"/>
          <w:spacing w:val="-54"/>
        </w:rPr>
        <w:t> 月 </w:t>
      </w:r>
      <w:r>
        <w:rPr>
          <w:rFonts w:ascii="楷体" w:eastAsia="楷体" w:hint="eastAsia"/>
        </w:rPr>
        <w:t>6</w:t>
      </w:r>
      <w:r>
        <w:rPr>
          <w:rFonts w:ascii="楷体" w:eastAsia="楷体" w:hint="eastAsia"/>
          <w:spacing w:val="-41"/>
        </w:rPr>
        <w:t> 日至 </w:t>
      </w:r>
      <w:r>
        <w:rPr>
          <w:rFonts w:ascii="楷体" w:eastAsia="楷体" w:hint="eastAsia"/>
        </w:rPr>
        <w:t>5</w:t>
      </w:r>
      <w:r>
        <w:rPr>
          <w:rFonts w:ascii="楷体" w:eastAsia="楷体" w:hint="eastAsia"/>
          <w:spacing w:val="-53"/>
        </w:rPr>
        <w:t> 月 </w:t>
      </w:r>
      <w:r>
        <w:rPr>
          <w:rFonts w:ascii="楷体" w:eastAsia="楷体" w:hint="eastAsia"/>
        </w:rPr>
        <w:t>25</w:t>
      </w:r>
      <w:r>
        <w:rPr>
          <w:rFonts w:ascii="楷体" w:eastAsia="楷体" w:hint="eastAsia"/>
          <w:spacing w:val="-41"/>
        </w:rPr>
        <w:t> 日</w:t>
      </w:r>
      <w:r>
        <w:rPr>
          <w:rFonts w:ascii="楷体" w:eastAsia="楷体" w:hint="eastAsia"/>
        </w:rPr>
        <w:t>）</w:t>
      </w:r>
    </w:p>
    <w:p>
      <w:pPr>
        <w:pStyle w:val="BodyText"/>
        <w:spacing w:line="300" w:lineRule="auto" w:before="149"/>
        <w:ind w:left="106" w:right="416" w:firstLine="640"/>
      </w:pPr>
      <w:r>
        <w:rPr>
          <w:spacing w:val="4"/>
          <w:w w:val="95"/>
        </w:rPr>
        <w:t>各相关部门梳理本部门“一次办好”事项，认真填写政务 </w:t>
      </w:r>
      <w:r>
        <w:rPr/>
        <w:t>服务事项清单、编写服务指南、示范文本、工作规程。</w:t>
      </w:r>
    </w:p>
    <w:p>
      <w:pPr>
        <w:pStyle w:val="ListParagraph"/>
        <w:numPr>
          <w:ilvl w:val="0"/>
          <w:numId w:val="4"/>
        </w:numPr>
        <w:tabs>
          <w:tab w:pos="926" w:val="left" w:leader="none"/>
        </w:tabs>
        <w:spacing w:line="300" w:lineRule="auto" w:before="2" w:after="0"/>
        <w:ind w:left="106" w:right="428" w:firstLine="640"/>
        <w:jc w:val="left"/>
        <w:rPr>
          <w:sz w:val="32"/>
        </w:rPr>
      </w:pPr>
      <w:r>
        <w:rPr>
          <w:spacing w:val="-11"/>
          <w:sz w:val="32"/>
        </w:rPr>
        <w:t>事项确定。规范“一次办好”标准化事项清单，确保政务</w:t>
      </w:r>
      <w:r>
        <w:rPr>
          <w:sz w:val="32"/>
        </w:rPr>
        <w:t>服务事项名称、编码、类型、依据等要素基本统一。</w:t>
      </w:r>
    </w:p>
    <w:p>
      <w:pPr>
        <w:pStyle w:val="ListParagraph"/>
        <w:numPr>
          <w:ilvl w:val="0"/>
          <w:numId w:val="4"/>
        </w:numPr>
        <w:tabs>
          <w:tab w:pos="952" w:val="left" w:leader="none"/>
        </w:tabs>
        <w:spacing w:line="240" w:lineRule="auto" w:before="3" w:after="0"/>
        <w:ind w:left="951" w:right="0" w:hanging="205"/>
        <w:jc w:val="left"/>
        <w:rPr>
          <w:sz w:val="32"/>
        </w:rPr>
      </w:pPr>
      <w:r>
        <w:rPr>
          <w:sz w:val="32"/>
        </w:rPr>
        <w:t>服务指南。按照政务服务事项“一次办好”清单</w:t>
      </w:r>
      <w:r>
        <w:rPr>
          <w:spacing w:val="4"/>
          <w:sz w:val="32"/>
        </w:rPr>
        <w:t>（</w:t>
      </w:r>
      <w:r>
        <w:rPr>
          <w:sz w:val="32"/>
        </w:rPr>
        <w:t>样表）</w:t>
      </w:r>
    </w:p>
    <w:p>
      <w:pPr>
        <w:pStyle w:val="BodyText"/>
        <w:spacing w:before="111"/>
        <w:ind w:left="106"/>
      </w:pPr>
      <w:r>
        <w:rPr/>
        <w:t>（见附件 1）和“四减”原则（即减环节、减材料、减时限、</w:t>
      </w:r>
    </w:p>
    <w:p>
      <w:pPr>
        <w:spacing w:after="0"/>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5"/>
        <w:jc w:val="both"/>
      </w:pPr>
      <w:r>
        <w:rPr>
          <w:w w:val="99"/>
        </w:rPr>
        <w:t>减费用</w:t>
      </w:r>
      <w:r>
        <w:rPr>
          <w:spacing w:val="-161"/>
          <w:w w:val="99"/>
        </w:rPr>
        <w:t>）</w:t>
      </w:r>
      <w:r>
        <w:rPr>
          <w:spacing w:val="-7"/>
          <w:w w:val="99"/>
        </w:rPr>
        <w:t>，对“一次办好”事项逐项</w:t>
      </w:r>
      <w:r>
        <w:rPr>
          <w:w w:val="99"/>
        </w:rPr>
        <w:t>（</w:t>
      </w:r>
      <w:r>
        <w:rPr>
          <w:spacing w:val="2"/>
          <w:w w:val="99"/>
        </w:rPr>
        <w:t>类</w:t>
      </w:r>
      <w:r>
        <w:rPr>
          <w:spacing w:val="-15"/>
          <w:w w:val="99"/>
        </w:rPr>
        <w:t>）</w:t>
      </w:r>
      <w:r>
        <w:rPr>
          <w:w w:val="99"/>
        </w:rPr>
        <w:t>编制完整版和简版服</w:t>
      </w:r>
      <w:r>
        <w:rPr/>
        <w:t>务指南，同时在政务服务网、本级政府网站公开并提供文本下载。</w:t>
      </w:r>
    </w:p>
    <w:p>
      <w:pPr>
        <w:pStyle w:val="ListParagraph"/>
        <w:numPr>
          <w:ilvl w:val="0"/>
          <w:numId w:val="5"/>
        </w:numPr>
        <w:tabs>
          <w:tab w:pos="1533" w:val="left" w:leader="none"/>
        </w:tabs>
        <w:spacing w:line="300" w:lineRule="auto" w:before="2" w:after="0"/>
        <w:ind w:left="106" w:right="428" w:firstLine="640"/>
        <w:jc w:val="both"/>
        <w:rPr>
          <w:sz w:val="32"/>
        </w:rPr>
      </w:pPr>
      <w:r>
        <w:rPr>
          <w:spacing w:val="-4"/>
          <w:w w:val="99"/>
          <w:sz w:val="32"/>
        </w:rPr>
        <w:t>完整版服务指南。按照“五个一律取消”要求，“凡</w:t>
      </w:r>
      <w:r>
        <w:rPr>
          <w:sz w:val="32"/>
        </w:rPr>
        <w:t>是没有法律法规依据的，凡是能通过现有证照来证明的，凡是能采取申请人书面承诺方式解决的，凡是能通过网络核验的， 凡是能够通过相关部门制发的批文来证明的，一律取消证明材</w:t>
      </w:r>
      <w:r>
        <w:rPr>
          <w:spacing w:val="-17"/>
          <w:w w:val="99"/>
          <w:sz w:val="32"/>
        </w:rPr>
        <w:t>料”，根据“一次办好”服务指南编写规范，梳理形成含事项名</w:t>
      </w:r>
      <w:r>
        <w:rPr>
          <w:spacing w:val="-1"/>
          <w:sz w:val="32"/>
        </w:rPr>
        <w:t>称等 </w:t>
      </w:r>
      <w:r>
        <w:rPr>
          <w:sz w:val="32"/>
        </w:rPr>
        <w:t>23</w:t>
      </w:r>
      <w:r>
        <w:rPr>
          <w:spacing w:val="-1"/>
          <w:sz w:val="32"/>
        </w:rPr>
        <w:t> 项要素的完整版服务指南。</w:t>
      </w:r>
    </w:p>
    <w:p>
      <w:pPr>
        <w:pStyle w:val="ListParagraph"/>
        <w:numPr>
          <w:ilvl w:val="0"/>
          <w:numId w:val="5"/>
        </w:numPr>
        <w:tabs>
          <w:tab w:pos="1539" w:val="left" w:leader="none"/>
        </w:tabs>
        <w:spacing w:line="300" w:lineRule="auto" w:before="4" w:after="0"/>
        <w:ind w:left="106" w:right="424" w:firstLine="640"/>
        <w:jc w:val="both"/>
        <w:rPr>
          <w:sz w:val="32"/>
        </w:rPr>
      </w:pPr>
      <w:r>
        <w:rPr>
          <w:spacing w:val="-19"/>
          <w:sz w:val="32"/>
        </w:rPr>
        <w:t>简版服务指南。包括事项名称、子项名称、适用范围</w:t>
      </w:r>
      <w:r>
        <w:rPr>
          <w:sz w:val="32"/>
        </w:rPr>
        <w:t>、受理机构、决定机构、办理条件、申请材料、办理流程、办理时限、收费标准、结果送达、咨询方式、监督投诉渠道、办公地址和时间、查询网址（二维码）等 15 项要素。</w:t>
      </w:r>
    </w:p>
    <w:p>
      <w:pPr>
        <w:pStyle w:val="ListParagraph"/>
        <w:numPr>
          <w:ilvl w:val="0"/>
          <w:numId w:val="4"/>
        </w:numPr>
        <w:tabs>
          <w:tab w:pos="945" w:val="left" w:leader="none"/>
        </w:tabs>
        <w:spacing w:line="300" w:lineRule="auto" w:before="3" w:after="0"/>
        <w:ind w:left="106" w:right="106" w:firstLine="640"/>
        <w:jc w:val="left"/>
        <w:rPr>
          <w:sz w:val="32"/>
        </w:rPr>
      </w:pPr>
      <w:r>
        <w:rPr>
          <w:spacing w:val="-12"/>
          <w:sz w:val="32"/>
        </w:rPr>
        <w:t>示范文本。需申请人填写表格和提交材料的政务服务事项， </w:t>
      </w:r>
      <w:r>
        <w:rPr>
          <w:sz w:val="32"/>
        </w:rPr>
        <w:t>应提供完整规范、内容明确的示范表格和符合标准的示范材料 图片。所有需要填写的表格、示范表格、示范材料图片等应打 包上传，方便申请人下载。</w:t>
      </w:r>
    </w:p>
    <w:p>
      <w:pPr>
        <w:pStyle w:val="ListParagraph"/>
        <w:numPr>
          <w:ilvl w:val="0"/>
          <w:numId w:val="4"/>
        </w:numPr>
        <w:tabs>
          <w:tab w:pos="957" w:val="left" w:leader="none"/>
        </w:tabs>
        <w:spacing w:line="300" w:lineRule="auto" w:before="1" w:after="0"/>
        <w:ind w:left="106" w:right="263" w:firstLine="640"/>
        <w:jc w:val="left"/>
        <w:rPr>
          <w:sz w:val="32"/>
        </w:rPr>
      </w:pPr>
      <w:r>
        <w:rPr>
          <w:sz w:val="32"/>
        </w:rPr>
        <w:t>工作规程。以“无差别受理、同标准审批、零自由裁量” </w:t>
      </w:r>
      <w:r>
        <w:rPr>
          <w:spacing w:val="-18"/>
          <w:sz w:val="32"/>
        </w:rPr>
        <w:t>为服务目标，逐个事项编制发布“一次办好”标准化工作规程， </w:t>
      </w:r>
      <w:r>
        <w:rPr>
          <w:sz w:val="32"/>
        </w:rPr>
        <w:t>逐要素明确办理标准，逐环节明确前后置条件，确保内容全面细致，可操作性强，为工作人员依法规范审批提供明确遵循。</w:t>
      </w:r>
    </w:p>
    <w:p>
      <w:pPr>
        <w:pStyle w:val="BodyText"/>
        <w:spacing w:before="5"/>
        <w:ind w:left="747"/>
        <w:rPr>
          <w:rFonts w:ascii="楷体" w:eastAsia="楷体" w:hint="eastAsia"/>
        </w:rPr>
      </w:pPr>
      <w:r>
        <w:rPr>
          <w:rFonts w:ascii="楷体" w:eastAsia="楷体" w:hint="eastAsia"/>
        </w:rPr>
        <w:t>（三）公示阶段（5</w:t>
      </w:r>
      <w:r>
        <w:rPr>
          <w:rFonts w:ascii="楷体" w:eastAsia="楷体" w:hint="eastAsia"/>
          <w:spacing w:val="-54"/>
        </w:rPr>
        <w:t> 月 </w:t>
      </w:r>
      <w:r>
        <w:rPr>
          <w:rFonts w:ascii="楷体" w:eastAsia="楷体" w:hint="eastAsia"/>
        </w:rPr>
        <w:t>27</w:t>
      </w:r>
      <w:r>
        <w:rPr>
          <w:rFonts w:ascii="楷体" w:eastAsia="楷体" w:hint="eastAsia"/>
          <w:spacing w:val="-41"/>
        </w:rPr>
        <w:t> 日至 </w:t>
      </w:r>
      <w:r>
        <w:rPr>
          <w:rFonts w:ascii="楷体" w:eastAsia="楷体" w:hint="eastAsia"/>
        </w:rPr>
        <w:t>6</w:t>
      </w:r>
      <w:r>
        <w:rPr>
          <w:rFonts w:ascii="楷体" w:eastAsia="楷体" w:hint="eastAsia"/>
          <w:spacing w:val="-54"/>
        </w:rPr>
        <w:t> 月 </w:t>
      </w:r>
      <w:r>
        <w:rPr>
          <w:rFonts w:ascii="楷体" w:eastAsia="楷体" w:hint="eastAsia"/>
        </w:rPr>
        <w:t>3</w:t>
      </w:r>
      <w:r>
        <w:rPr>
          <w:rFonts w:ascii="楷体" w:eastAsia="楷体" w:hint="eastAsia"/>
          <w:spacing w:val="-40"/>
        </w:rPr>
        <w:t> 日</w:t>
      </w:r>
      <w:r>
        <w:rPr>
          <w:rFonts w:ascii="楷体" w:eastAsia="楷体" w:hint="eastAsia"/>
        </w:rPr>
        <w:t>）</w:t>
      </w:r>
    </w:p>
    <w:p>
      <w:pPr>
        <w:pStyle w:val="BodyText"/>
        <w:spacing w:before="149"/>
        <w:ind w:left="747"/>
      </w:pPr>
      <w:r>
        <w:rPr/>
        <w:t>县行政审批服务局将梳理后的政务服务事项清单，编制完</w:t>
      </w:r>
    </w:p>
    <w:p>
      <w:pPr>
        <w:spacing w:after="0"/>
        <w:sectPr>
          <w:pgSz w:w="11910" w:h="16840"/>
          <w:pgMar w:header="0" w:footer="1355" w:top="1580" w:bottom="1540" w:left="1480" w:right="1160"/>
        </w:sectPr>
      </w:pPr>
    </w:p>
    <w:p>
      <w:pPr>
        <w:pStyle w:val="BodyText"/>
        <w:spacing w:before="10"/>
        <w:rPr>
          <w:sz w:val="21"/>
        </w:rPr>
      </w:pPr>
    </w:p>
    <w:p>
      <w:pPr>
        <w:pStyle w:val="BodyText"/>
        <w:spacing w:line="300" w:lineRule="auto" w:before="41"/>
        <w:ind w:left="106" w:right="425"/>
        <w:jc w:val="both"/>
      </w:pPr>
      <w:r>
        <w:rPr/>
        <w:t>整的政务服务事项“一次办好”服务指南、示范文本、政务服</w:t>
      </w:r>
      <w:r>
        <w:rPr>
          <w:spacing w:val="-17"/>
        </w:rPr>
        <w:t>务事项“一次办好”标准化工作规程，印制成册供申请人查阅， </w:t>
      </w:r>
      <w:r>
        <w:rPr/>
        <w:t>同时在政务服务网、本级政府网站公开公示。</w:t>
      </w:r>
    </w:p>
    <w:p>
      <w:pPr>
        <w:pStyle w:val="BodyText"/>
        <w:ind w:left="747"/>
        <w:rPr>
          <w:rFonts w:ascii="楷体" w:eastAsia="楷体" w:hint="eastAsia"/>
        </w:rPr>
      </w:pPr>
      <w:r>
        <w:rPr>
          <w:rFonts w:ascii="楷体" w:eastAsia="楷体" w:hint="eastAsia"/>
        </w:rPr>
        <w:t>（四）办理阶段（6</w:t>
      </w:r>
      <w:r>
        <w:rPr>
          <w:rFonts w:ascii="楷体" w:eastAsia="楷体" w:hint="eastAsia"/>
          <w:spacing w:val="-54"/>
        </w:rPr>
        <w:t> 月 </w:t>
      </w:r>
      <w:r>
        <w:rPr>
          <w:rFonts w:ascii="楷体" w:eastAsia="楷体" w:hint="eastAsia"/>
        </w:rPr>
        <w:t>3</w:t>
      </w:r>
      <w:r>
        <w:rPr>
          <w:rFonts w:ascii="楷体" w:eastAsia="楷体" w:hint="eastAsia"/>
          <w:spacing w:val="-21"/>
        </w:rPr>
        <w:t> 日以后</w:t>
      </w:r>
      <w:r>
        <w:rPr>
          <w:rFonts w:ascii="楷体" w:eastAsia="楷体" w:hint="eastAsia"/>
        </w:rPr>
        <w:t>）</w:t>
      </w:r>
    </w:p>
    <w:p>
      <w:pPr>
        <w:pStyle w:val="Heading3"/>
        <w:numPr>
          <w:ilvl w:val="0"/>
          <w:numId w:val="6"/>
        </w:numPr>
        <w:tabs>
          <w:tab w:pos="1072" w:val="left" w:leader="none"/>
        </w:tabs>
        <w:spacing w:line="240" w:lineRule="auto" w:before="149" w:after="0"/>
        <w:ind w:left="1071" w:right="0" w:hanging="322"/>
        <w:jc w:val="left"/>
      </w:pPr>
      <w:r>
        <w:rPr/>
        <w:t>网上大厅</w:t>
      </w:r>
    </w:p>
    <w:p>
      <w:pPr>
        <w:pStyle w:val="ListParagraph"/>
        <w:numPr>
          <w:ilvl w:val="0"/>
          <w:numId w:val="7"/>
        </w:numPr>
        <w:tabs>
          <w:tab w:pos="1530" w:val="left" w:leader="none"/>
        </w:tabs>
        <w:spacing w:line="300" w:lineRule="auto" w:before="150" w:after="0"/>
        <w:ind w:left="106" w:right="424" w:firstLine="640"/>
        <w:jc w:val="both"/>
        <w:rPr>
          <w:sz w:val="32"/>
        </w:rPr>
      </w:pPr>
      <w:r>
        <w:rPr>
          <w:spacing w:val="2"/>
          <w:w w:val="95"/>
          <w:sz w:val="32"/>
        </w:rPr>
        <w:t>线上咨询。运用“互联网+政务服务”平台，在政府 </w:t>
      </w:r>
      <w:r>
        <w:rPr>
          <w:spacing w:val="2"/>
          <w:sz w:val="32"/>
        </w:rPr>
        <w:t>网站、政务服务平台、移动终端提供咨询服务。通过 </w:t>
      </w:r>
      <w:r>
        <w:rPr>
          <w:sz w:val="32"/>
        </w:rPr>
        <w:t>12345</w:t>
      </w:r>
      <w:r>
        <w:rPr>
          <w:spacing w:val="-2"/>
          <w:sz w:val="32"/>
        </w:rPr>
        <w:t> 政</w:t>
      </w:r>
      <w:r>
        <w:rPr>
          <w:sz w:val="32"/>
        </w:rPr>
        <w:t>务服务热线平台，实现在线信息发布、问题解答、咨询投诉等</w:t>
      </w:r>
      <w:r>
        <w:rPr>
          <w:spacing w:val="-17"/>
          <w:sz w:val="32"/>
        </w:rPr>
        <w:t>功能。利用“爱山东”</w:t>
      </w:r>
      <w:r>
        <w:rPr>
          <w:spacing w:val="-25"/>
          <w:sz w:val="32"/>
        </w:rPr>
        <w:t>APP</w:t>
      </w:r>
      <w:r>
        <w:rPr>
          <w:spacing w:val="-22"/>
          <w:sz w:val="32"/>
        </w:rPr>
        <w:t>，实现高频事项“掌上查、掌上办”。</w:t>
      </w:r>
    </w:p>
    <w:p>
      <w:pPr>
        <w:pStyle w:val="ListParagraph"/>
        <w:numPr>
          <w:ilvl w:val="0"/>
          <w:numId w:val="7"/>
        </w:numPr>
        <w:tabs>
          <w:tab w:pos="1540" w:val="left" w:leader="none"/>
        </w:tabs>
        <w:spacing w:line="240" w:lineRule="auto" w:before="4" w:after="0"/>
        <w:ind w:left="1539" w:right="0" w:hanging="793"/>
        <w:jc w:val="both"/>
        <w:rPr>
          <w:sz w:val="32"/>
        </w:rPr>
      </w:pPr>
      <w:r>
        <w:rPr>
          <w:spacing w:val="-1"/>
          <w:sz w:val="32"/>
        </w:rPr>
        <w:t>网上办理 。</w:t>
      </w:r>
    </w:p>
    <w:p>
      <w:pPr>
        <w:pStyle w:val="BodyText"/>
        <w:spacing w:line="300" w:lineRule="auto" w:before="112"/>
        <w:ind w:left="106" w:right="416" w:firstLine="640"/>
        <w:jc w:val="both"/>
      </w:pPr>
      <w:r>
        <w:rPr>
          <w:spacing w:val="4"/>
          <w:w w:val="95"/>
        </w:rPr>
        <w:t>一是网上申请。开通政务服务事项（法律法规规定的涉密 </w:t>
      </w:r>
      <w:r>
        <w:rPr>
          <w:spacing w:val="4"/>
        </w:rPr>
        <w:t>事项除外）</w:t>
      </w:r>
      <w:r>
        <w:rPr/>
        <w:t>网上预约、申请和受理短信提醒等功能。申请人通过身份认证后，可通过政务服务网、各级服务中心自助终端、移动终端、邮政寄递等方式提交申请。</w:t>
      </w:r>
    </w:p>
    <w:p>
      <w:pPr>
        <w:pStyle w:val="BodyText"/>
        <w:spacing w:line="300" w:lineRule="auto"/>
        <w:ind w:left="747" w:right="416"/>
      </w:pPr>
      <w:r>
        <w:rPr>
          <w:spacing w:val="-17"/>
        </w:rPr>
        <w:t>二是网上审核。网上审核分全程网办、网上预审两种类型。</w:t>
      </w:r>
      <w:r>
        <w:rPr>
          <w:spacing w:val="4"/>
          <w:w w:val="95"/>
        </w:rPr>
        <w:t>全程网办。申请人网上提交电子（扫描）材料，决定机构</w:t>
      </w:r>
    </w:p>
    <w:p>
      <w:pPr>
        <w:pStyle w:val="BodyText"/>
        <w:spacing w:line="300" w:lineRule="auto"/>
        <w:ind w:left="106" w:right="431"/>
      </w:pPr>
      <w:r>
        <w:rPr>
          <w:spacing w:val="2"/>
          <w:w w:val="95"/>
        </w:rPr>
        <w:t>办结后在网上发证或通过邮政寄递结果文书</w:t>
      </w:r>
      <w:r>
        <w:rPr>
          <w:spacing w:val="4"/>
          <w:w w:val="95"/>
        </w:rPr>
        <w:t>（</w:t>
      </w:r>
      <w:r>
        <w:rPr>
          <w:w w:val="95"/>
        </w:rPr>
        <w:t>含各类证件、执 </w:t>
      </w:r>
      <w:r>
        <w:rPr/>
        <w:t>照、批准文件和其他形式的结果文书，下同</w:t>
      </w:r>
      <w:r>
        <w:rPr>
          <w:spacing w:val="-159"/>
        </w:rPr>
        <w:t>）</w:t>
      </w:r>
      <w:r>
        <w:rPr/>
        <w:t>。</w:t>
      </w:r>
    </w:p>
    <w:p>
      <w:pPr>
        <w:pStyle w:val="BodyText"/>
        <w:spacing w:line="300" w:lineRule="auto"/>
        <w:ind w:left="106" w:right="425" w:firstLine="640"/>
        <w:jc w:val="both"/>
      </w:pPr>
      <w:r>
        <w:rPr>
          <w:spacing w:val="-15"/>
          <w:w w:val="99"/>
        </w:rPr>
        <w:t>网上预审。实行“网上预审、核验原件、及时办结”，申请</w:t>
      </w:r>
      <w:r>
        <w:rPr/>
        <w:t>人网上提交电子材料，决定机构依规受理、审查后，通知申请人携带材料原件到窗口核验，即办件当场办结，需后台审查的限时办结，现场发放或邮政寄递结果文书。</w:t>
      </w:r>
    </w:p>
    <w:p>
      <w:pPr>
        <w:pStyle w:val="Heading3"/>
        <w:numPr>
          <w:ilvl w:val="0"/>
          <w:numId w:val="6"/>
        </w:numPr>
        <w:tabs>
          <w:tab w:pos="1072" w:val="left" w:leader="none"/>
        </w:tabs>
        <w:spacing w:line="240" w:lineRule="auto" w:before="2" w:after="0"/>
        <w:ind w:left="1071" w:right="0" w:hanging="322"/>
        <w:jc w:val="left"/>
      </w:pPr>
      <w:r>
        <w:rPr/>
        <w:t>实体大厅</w:t>
      </w:r>
    </w:p>
    <w:p>
      <w:pPr>
        <w:spacing w:after="0" w:line="240" w:lineRule="auto"/>
        <w:jc w:val="left"/>
        <w:sectPr>
          <w:pgSz w:w="11910" w:h="16840"/>
          <w:pgMar w:header="0" w:footer="1355" w:top="1580" w:bottom="1540" w:left="1480" w:right="1160"/>
        </w:sectPr>
      </w:pPr>
    </w:p>
    <w:p>
      <w:pPr>
        <w:pStyle w:val="BodyText"/>
        <w:spacing w:before="9"/>
        <w:rPr>
          <w:rFonts w:ascii="仿宋_GB2312"/>
          <w:b/>
          <w:sz w:val="23"/>
        </w:rPr>
      </w:pPr>
    </w:p>
    <w:p>
      <w:pPr>
        <w:pStyle w:val="ListParagraph"/>
        <w:numPr>
          <w:ilvl w:val="0"/>
          <w:numId w:val="8"/>
        </w:numPr>
        <w:tabs>
          <w:tab w:pos="1517" w:val="left" w:leader="none"/>
        </w:tabs>
        <w:spacing w:line="300" w:lineRule="auto" w:before="41" w:after="0"/>
        <w:ind w:left="106" w:right="427" w:firstLine="640"/>
        <w:jc w:val="both"/>
        <w:rPr>
          <w:sz w:val="32"/>
        </w:rPr>
      </w:pPr>
      <w:r>
        <w:rPr>
          <w:spacing w:val="-5"/>
          <w:sz w:val="32"/>
        </w:rPr>
        <w:t>线下咨询。设立咨询服务窗口，指定专人负责对咨询</w:t>
      </w:r>
      <w:r>
        <w:rPr>
          <w:sz w:val="32"/>
        </w:rPr>
        <w:t>事项做出清晰明确答复，并提供有关“一次办好”事项的服务网址、办事指南、二维码等，供申请人自行查询使用。</w:t>
      </w:r>
    </w:p>
    <w:p>
      <w:pPr>
        <w:pStyle w:val="ListParagraph"/>
        <w:numPr>
          <w:ilvl w:val="0"/>
          <w:numId w:val="8"/>
        </w:numPr>
        <w:tabs>
          <w:tab w:pos="1539" w:val="left" w:leader="none"/>
        </w:tabs>
        <w:spacing w:line="300" w:lineRule="auto" w:before="2" w:after="0"/>
        <w:ind w:left="106" w:right="427" w:firstLine="640"/>
        <w:jc w:val="both"/>
        <w:rPr>
          <w:sz w:val="32"/>
        </w:rPr>
      </w:pPr>
      <w:r>
        <w:rPr>
          <w:spacing w:val="-4"/>
          <w:sz w:val="32"/>
        </w:rPr>
        <w:t>基层便民服务中心。在乡镇便民服务中心布局一批</w:t>
      </w:r>
      <w:r>
        <w:rPr>
          <w:sz w:val="32"/>
        </w:rPr>
        <w:t>自助设备，拓展丰富自助终端、移动终端等便民服务载体，推动流程简单、办理频次较高的便民服务事项延伸到基层办理。</w:t>
      </w:r>
    </w:p>
    <w:p>
      <w:pPr>
        <w:pStyle w:val="ListParagraph"/>
        <w:numPr>
          <w:ilvl w:val="0"/>
          <w:numId w:val="8"/>
        </w:numPr>
        <w:tabs>
          <w:tab w:pos="1536" w:val="left" w:leader="none"/>
        </w:tabs>
        <w:spacing w:line="300" w:lineRule="auto" w:before="2" w:after="0"/>
        <w:ind w:left="106" w:right="264" w:firstLine="640"/>
        <w:jc w:val="left"/>
        <w:rPr>
          <w:sz w:val="32"/>
        </w:rPr>
      </w:pPr>
      <w:r>
        <w:rPr>
          <w:spacing w:val="-11"/>
          <w:sz w:val="32"/>
        </w:rPr>
        <w:t>沂蒙红色帮办代办。向企业和群众提供有关法律政策</w:t>
      </w:r>
      <w:r>
        <w:rPr>
          <w:sz w:val="32"/>
        </w:rPr>
        <w:t>、事项办理、表格填写、业务咨询等方面的辅导帮办服务。对重点建设项目、新签约招商引资项目等建立“一对一”精准帮办服务机制，提前介入，主动上门，打造“贴心、专业、高效”的“沂蒙红色帮办代办”服务品牌。</w:t>
      </w:r>
    </w:p>
    <w:p>
      <w:pPr>
        <w:pStyle w:val="ListParagraph"/>
        <w:numPr>
          <w:ilvl w:val="0"/>
          <w:numId w:val="8"/>
        </w:numPr>
        <w:tabs>
          <w:tab w:pos="1546" w:val="left" w:leader="none"/>
        </w:tabs>
        <w:spacing w:line="240" w:lineRule="auto" w:before="2" w:after="0"/>
        <w:ind w:left="1545" w:right="0" w:hanging="799"/>
        <w:jc w:val="left"/>
        <w:rPr>
          <w:sz w:val="32"/>
        </w:rPr>
      </w:pPr>
      <w:r>
        <w:rPr>
          <w:sz w:val="32"/>
        </w:rPr>
        <w:t>线下办理。</w:t>
      </w:r>
    </w:p>
    <w:p>
      <w:pPr>
        <w:pStyle w:val="BodyText"/>
        <w:spacing w:line="300" w:lineRule="auto" w:before="114"/>
        <w:ind w:left="106" w:right="416" w:firstLine="640"/>
        <w:jc w:val="both"/>
      </w:pPr>
      <w:r>
        <w:rPr>
          <w:spacing w:val="4"/>
          <w:w w:val="95"/>
        </w:rPr>
        <w:t>一是综合窗口受理。按照“一窗通办”要求，分领域设立 </w:t>
      </w:r>
      <w:r>
        <w:rPr>
          <w:spacing w:val="-17"/>
        </w:rPr>
        <w:t>综合窗口，实行前台统一受理。通过宣传栏</w:t>
      </w:r>
      <w:r>
        <w:rPr/>
        <w:t>（板</w:t>
      </w:r>
      <w:r>
        <w:rPr>
          <w:spacing w:val="-161"/>
        </w:rPr>
        <w:t>）</w:t>
      </w:r>
      <w:r>
        <w:rPr>
          <w:spacing w:val="-31"/>
        </w:rPr>
        <w:t>、触摸屏、</w:t>
      </w:r>
      <w:r>
        <w:rPr/>
        <w:t>LED 公告屏等形式，提示或告知申请人有关规范事项。</w:t>
      </w:r>
    </w:p>
    <w:p>
      <w:pPr>
        <w:pStyle w:val="BodyText"/>
        <w:spacing w:line="300" w:lineRule="auto"/>
        <w:ind w:left="106" w:right="416" w:firstLine="640"/>
        <w:jc w:val="both"/>
      </w:pPr>
      <w:r>
        <w:rPr>
          <w:spacing w:val="4"/>
          <w:w w:val="95"/>
        </w:rPr>
        <w:t>二是后台审批。综合窗口受理后，后台分类进行审核，属 </w:t>
      </w:r>
      <w:r>
        <w:rPr/>
        <w:t>于单一审批服务流程的，限时由一个部门或单位进行受理和审</w:t>
      </w:r>
      <w:r>
        <w:rPr>
          <w:spacing w:val="-6"/>
        </w:rPr>
        <w:t>查；属于共同审批服务流程的，明确牵头部门</w:t>
      </w:r>
      <w:r>
        <w:rPr/>
        <w:t>（单位</w:t>
      </w:r>
      <w:r>
        <w:rPr>
          <w:spacing w:val="-159"/>
        </w:rPr>
        <w:t>）</w:t>
      </w:r>
      <w:r>
        <w:rPr>
          <w:spacing w:val="-5"/>
        </w:rPr>
        <w:t>、协同部</w:t>
      </w:r>
      <w:r>
        <w:rPr>
          <w:spacing w:val="4"/>
        </w:rPr>
        <w:t>门（单位）</w:t>
      </w:r>
      <w:r>
        <w:rPr/>
        <w:t>各自职责及配合节点、材料流转、反馈意见、流程时限等要求，实行限时办结。</w:t>
      </w:r>
    </w:p>
    <w:p>
      <w:pPr>
        <w:pStyle w:val="BodyText"/>
        <w:spacing w:line="300" w:lineRule="auto" w:before="3"/>
        <w:ind w:left="106" w:right="416" w:firstLine="640"/>
        <w:jc w:val="both"/>
      </w:pPr>
      <w:r>
        <w:rPr>
          <w:spacing w:val="4"/>
          <w:w w:val="95"/>
        </w:rPr>
        <w:t>三是统一送达。通过政务服务系统将审批结果统一推送至 </w:t>
      </w:r>
      <w:r>
        <w:rPr/>
        <w:t>综合受理窗口，制作相关证照、批准文书，采取现场递交、邮政寄递、网上传输等方式将结果文书即时送达申请人。</w:t>
      </w:r>
    </w:p>
    <w:p>
      <w:pPr>
        <w:spacing w:after="0" w:line="300" w:lineRule="auto"/>
        <w:jc w:val="both"/>
        <w:sectPr>
          <w:pgSz w:w="11910" w:h="16840"/>
          <w:pgMar w:header="0" w:footer="1355" w:top="1580" w:bottom="1540" w:left="1480" w:right="1160"/>
        </w:sectPr>
      </w:pPr>
    </w:p>
    <w:p>
      <w:pPr>
        <w:pStyle w:val="BodyText"/>
        <w:spacing w:before="11"/>
        <w:rPr>
          <w:sz w:val="20"/>
        </w:rPr>
      </w:pPr>
    </w:p>
    <w:p>
      <w:pPr>
        <w:pStyle w:val="BodyText"/>
        <w:spacing w:before="54"/>
        <w:ind w:left="747"/>
        <w:rPr>
          <w:rFonts w:ascii="黑体" w:eastAsia="黑体" w:hint="eastAsia"/>
        </w:rPr>
      </w:pPr>
      <w:r>
        <w:rPr>
          <w:rFonts w:ascii="黑体" w:eastAsia="黑体" w:hint="eastAsia"/>
        </w:rPr>
        <w:t>六、监督评价</w:t>
      </w:r>
    </w:p>
    <w:p>
      <w:pPr>
        <w:pStyle w:val="BodyText"/>
        <w:spacing w:line="300" w:lineRule="auto" w:before="149"/>
        <w:ind w:left="106" w:right="415" w:firstLine="640"/>
        <w:jc w:val="both"/>
      </w:pPr>
      <w:r>
        <w:rPr>
          <w:rFonts w:ascii="楷体" w:hAnsi="楷体" w:eastAsia="楷体" w:hint="eastAsia"/>
          <w:spacing w:val="4"/>
          <w:w w:val="95"/>
        </w:rPr>
        <w:t>（一）加强“一次办好”监督检查。</w:t>
      </w:r>
      <w:r>
        <w:rPr>
          <w:spacing w:val="4"/>
          <w:w w:val="95"/>
        </w:rPr>
        <w:t>采取定期或不定期抽 </w:t>
      </w:r>
      <w:r>
        <w:rPr/>
        <w:t>查、定点检查相结合的方式，采用现场巡查、电子监察相结合的方法，对办理权限、时限、程序、相关文书制定等情况实行全程跟踪、预警、督办。建立线上线下监督反馈机制，通过网络、微信、短信等后台评价渠道，对受理、审批、送达等环节进行全程监督。</w:t>
      </w:r>
    </w:p>
    <w:p>
      <w:pPr>
        <w:pStyle w:val="BodyText"/>
        <w:spacing w:line="300" w:lineRule="auto" w:before="5"/>
        <w:ind w:left="106" w:right="423" w:firstLine="640"/>
        <w:jc w:val="both"/>
      </w:pPr>
      <w:r>
        <w:rPr>
          <w:rFonts w:ascii="楷体" w:hAnsi="楷体" w:eastAsia="楷体" w:hint="eastAsia"/>
        </w:rPr>
        <w:t>（二</w:t>
      </w:r>
      <w:r>
        <w:rPr>
          <w:rFonts w:ascii="楷体" w:hAnsi="楷体" w:eastAsia="楷体" w:hint="eastAsia"/>
          <w:spacing w:val="-10"/>
        </w:rPr>
        <w:t>）</w:t>
      </w:r>
      <w:r>
        <w:rPr>
          <w:rFonts w:ascii="楷体" w:hAnsi="楷体" w:eastAsia="楷体" w:hint="eastAsia"/>
          <w:spacing w:val="-6"/>
        </w:rPr>
        <w:t>建立“一次办好”通报制度。</w:t>
      </w:r>
      <w:r>
        <w:rPr>
          <w:spacing w:val="-4"/>
        </w:rPr>
        <w:t>各乡镇</w:t>
      </w:r>
      <w:r>
        <w:rPr/>
        <w:t>（街道</w:t>
      </w:r>
      <w:r>
        <w:rPr>
          <w:spacing w:val="-159"/>
        </w:rPr>
        <w:t>）</w:t>
      </w:r>
      <w:r>
        <w:rPr>
          <w:spacing w:val="-5"/>
        </w:rPr>
        <w:t>、部门</w:t>
      </w:r>
      <w:r>
        <w:rPr/>
        <w:t>单位每月将“一次办好”事项办理情况报县行政审批服务局， </w:t>
      </w:r>
      <w:r>
        <w:rPr>
          <w:spacing w:val="-22"/>
        </w:rPr>
        <w:t>由县行政审批服务局汇总分析，定期通报，督促各乡镇</w:t>
      </w:r>
      <w:r>
        <w:rPr/>
        <w:t>（街道</w:t>
      </w:r>
      <w:r>
        <w:rPr>
          <w:spacing w:val="-161"/>
        </w:rPr>
        <w:t>）</w:t>
      </w:r>
      <w:r>
        <w:rPr/>
        <w:t>、部门单位查摆不足，分析原因，抓好整改，推动“一次办好” 改革取得实效。</w:t>
      </w:r>
    </w:p>
    <w:p>
      <w:pPr>
        <w:pStyle w:val="BodyText"/>
        <w:spacing w:line="300" w:lineRule="auto" w:before="4"/>
        <w:ind w:left="106" w:right="415" w:firstLine="640"/>
        <w:jc w:val="both"/>
      </w:pPr>
      <w:r>
        <w:rPr>
          <w:rFonts w:ascii="楷体" w:hAnsi="楷体" w:eastAsia="楷体" w:hint="eastAsia"/>
          <w:spacing w:val="4"/>
          <w:w w:val="95"/>
        </w:rPr>
        <w:t>（三）强化“一次办好”考核问责。</w:t>
      </w:r>
      <w:r>
        <w:rPr>
          <w:spacing w:val="4"/>
          <w:w w:val="95"/>
        </w:rPr>
        <w:t>严格“一次办好”标 </w:t>
      </w:r>
      <w:r>
        <w:rPr/>
        <w:t>准化考核，建立“定期考核、结果通报、末位约谈”的考核体</w:t>
      </w:r>
      <w:r>
        <w:rPr>
          <w:spacing w:val="-5"/>
          <w:w w:val="99"/>
        </w:rPr>
        <w:t>系，并将考核情况作为部门单位和乡镇</w:t>
      </w:r>
      <w:r>
        <w:rPr>
          <w:spacing w:val="2"/>
          <w:w w:val="99"/>
        </w:rPr>
        <w:t>（</w:t>
      </w:r>
      <w:r>
        <w:rPr>
          <w:spacing w:val="1"/>
          <w:w w:val="99"/>
        </w:rPr>
        <w:t>街道</w:t>
      </w:r>
      <w:r>
        <w:rPr>
          <w:spacing w:val="-178"/>
          <w:w w:val="99"/>
        </w:rPr>
        <w:t>）</w:t>
      </w:r>
      <w:r>
        <w:rPr>
          <w:spacing w:val="-3"/>
          <w:w w:val="99"/>
        </w:rPr>
        <w:t>“放管服”改革</w:t>
      </w:r>
      <w:r>
        <w:rPr/>
        <w:t>评价的重要依据，对不担当、不作为、慢作为的单位和个人， 依法依规进行责任追究。</w:t>
      </w:r>
    </w:p>
    <w:p>
      <w:pPr>
        <w:pStyle w:val="BodyText"/>
        <w:spacing w:before="4"/>
        <w:rPr>
          <w:sz w:val="40"/>
        </w:rPr>
      </w:pPr>
    </w:p>
    <w:p>
      <w:pPr>
        <w:pStyle w:val="BodyText"/>
        <w:spacing w:before="0"/>
        <w:ind w:left="747"/>
      </w:pPr>
      <w:r>
        <w:rPr/>
        <w:t>附件：1.政务服务事项“一次办好”清单（样表）</w:t>
      </w:r>
    </w:p>
    <w:p>
      <w:pPr>
        <w:pStyle w:val="ListParagraph"/>
        <w:numPr>
          <w:ilvl w:val="1"/>
          <w:numId w:val="6"/>
        </w:numPr>
        <w:tabs>
          <w:tab w:pos="1867" w:val="left" w:leader="none"/>
        </w:tabs>
        <w:spacing w:line="240" w:lineRule="auto" w:before="112" w:after="0"/>
        <w:ind w:left="1866" w:right="0" w:hanging="203"/>
        <w:jc w:val="left"/>
        <w:rPr>
          <w:sz w:val="32"/>
        </w:rPr>
      </w:pPr>
      <w:r>
        <w:rPr>
          <w:sz w:val="32"/>
        </w:rPr>
        <w:t>政务服务事项“一次办好”服务指南编写规范</w:t>
      </w:r>
    </w:p>
    <w:p>
      <w:pPr>
        <w:pStyle w:val="ListParagraph"/>
        <w:numPr>
          <w:ilvl w:val="1"/>
          <w:numId w:val="6"/>
        </w:numPr>
        <w:tabs>
          <w:tab w:pos="1862" w:val="left" w:leader="none"/>
        </w:tabs>
        <w:spacing w:line="240" w:lineRule="auto" w:before="112" w:after="0"/>
        <w:ind w:left="1861" w:right="0" w:hanging="198"/>
        <w:jc w:val="left"/>
        <w:rPr>
          <w:sz w:val="32"/>
        </w:rPr>
      </w:pPr>
      <w:r>
        <w:rPr>
          <w:sz w:val="32"/>
        </w:rPr>
        <w:t>示范文本（样表）</w:t>
      </w:r>
    </w:p>
    <w:p>
      <w:pPr>
        <w:pStyle w:val="ListParagraph"/>
        <w:numPr>
          <w:ilvl w:val="1"/>
          <w:numId w:val="6"/>
        </w:numPr>
        <w:tabs>
          <w:tab w:pos="1872" w:val="left" w:leader="none"/>
        </w:tabs>
        <w:spacing w:line="240" w:lineRule="auto" w:before="114" w:after="0"/>
        <w:ind w:left="1871" w:right="0" w:hanging="208"/>
        <w:jc w:val="left"/>
        <w:rPr>
          <w:sz w:val="32"/>
        </w:rPr>
      </w:pPr>
      <w:r>
        <w:rPr>
          <w:spacing w:val="-24"/>
          <w:sz w:val="32"/>
        </w:rPr>
        <w:t>政务服务事项“一次办好”标准化工作规程</w:t>
      </w:r>
      <w:r>
        <w:rPr>
          <w:sz w:val="32"/>
        </w:rPr>
        <w:t>（样本）</w:t>
      </w:r>
    </w:p>
    <w:p>
      <w:pPr>
        <w:spacing w:after="0" w:line="240" w:lineRule="auto"/>
        <w:jc w:val="left"/>
        <w:rPr>
          <w:sz w:val="32"/>
        </w:rPr>
        <w:sectPr>
          <w:pgSz w:w="11910" w:h="16840"/>
          <w:pgMar w:header="0" w:footer="1355" w:top="1580" w:bottom="1540" w:left="1480" w:right="1160"/>
        </w:sectPr>
      </w:pPr>
    </w:p>
    <w:p>
      <w:pPr>
        <w:pStyle w:val="BodyText"/>
        <w:spacing w:before="34"/>
        <w:ind w:left="220"/>
        <w:rPr>
          <w:rFonts w:ascii="黑体" w:eastAsia="黑体" w:hint="eastAsia"/>
        </w:rPr>
      </w:pPr>
      <w:r>
        <w:rPr>
          <w:rFonts w:ascii="黑体" w:eastAsia="黑体" w:hint="eastAsia"/>
          <w:spacing w:val="-26"/>
        </w:rPr>
        <w:t>附件 </w:t>
      </w:r>
      <w:r>
        <w:rPr>
          <w:rFonts w:ascii="黑体" w:eastAsia="黑体" w:hint="eastAsia"/>
        </w:rPr>
        <w:t>1</w:t>
      </w:r>
    </w:p>
    <w:p>
      <w:pPr>
        <w:pStyle w:val="BodyText"/>
        <w:spacing w:before="6"/>
        <w:rPr>
          <w:rFonts w:ascii="黑体"/>
          <w:sz w:val="38"/>
        </w:rPr>
      </w:pPr>
      <w:r>
        <w:rPr/>
        <w:br w:type="column"/>
      </w:r>
      <w:r>
        <w:rPr>
          <w:rFonts w:ascii="黑体"/>
          <w:sz w:val="38"/>
        </w:rPr>
      </w:r>
    </w:p>
    <w:p>
      <w:pPr>
        <w:pStyle w:val="BodyText"/>
        <w:spacing w:before="0"/>
        <w:ind w:left="220"/>
        <w:rPr>
          <w:rFonts w:ascii="方正小标宋简体" w:hAnsi="方正小标宋简体" w:eastAsia="方正小标宋简体" w:hint="eastAsia"/>
        </w:rPr>
      </w:pPr>
      <w:r>
        <w:rPr>
          <w:rFonts w:ascii="方正小标宋简体" w:hAnsi="方正小标宋简体" w:eastAsia="方正小标宋简体" w:hint="eastAsia"/>
        </w:rPr>
        <w:t>政务服务事项“一次办好”清单（样表）</w:t>
      </w:r>
    </w:p>
    <w:p>
      <w:pPr>
        <w:spacing w:after="0"/>
        <w:rPr>
          <w:rFonts w:ascii="方正小标宋简体" w:hAnsi="方正小标宋简体" w:eastAsia="方正小标宋简体" w:hint="eastAsia"/>
        </w:rPr>
        <w:sectPr>
          <w:footerReference w:type="default" r:id="rId7"/>
          <w:pgSz w:w="16840" w:h="11910" w:orient="landscape"/>
          <w:pgMar w:footer="1355" w:header="0" w:top="1020" w:bottom="1540" w:left="1220" w:right="1340"/>
          <w:pgNumType w:start="25"/>
          <w:cols w:num="2" w:equalWidth="0">
            <w:col w:w="1143" w:space="2957"/>
            <w:col w:w="10180"/>
          </w:cols>
        </w:sectPr>
      </w:pPr>
    </w:p>
    <w:p>
      <w:pPr>
        <w:tabs>
          <w:tab w:pos="8741" w:val="left" w:leader="none"/>
          <w:tab w:pos="11141" w:val="left" w:leader="none"/>
        </w:tabs>
        <w:spacing w:before="135" w:after="43"/>
        <w:ind w:left="220" w:right="0" w:firstLine="0"/>
        <w:jc w:val="left"/>
        <w:rPr>
          <w:rFonts w:ascii="宋体" w:eastAsia="宋体" w:hint="eastAsia"/>
          <w:sz w:val="24"/>
        </w:rPr>
      </w:pPr>
      <w:r>
        <w:rPr>
          <w:rFonts w:ascii="宋体" w:eastAsia="宋体" w:hint="eastAsia"/>
          <w:sz w:val="24"/>
        </w:rPr>
        <w:t>填报单位</w:t>
      </w:r>
      <w:r>
        <w:rPr>
          <w:rFonts w:ascii="宋体" w:eastAsia="宋体" w:hint="eastAsia"/>
          <w:spacing w:val="-120"/>
          <w:sz w:val="24"/>
        </w:rPr>
        <w:t>：</w:t>
      </w:r>
      <w:r>
        <w:rPr>
          <w:rFonts w:ascii="宋体" w:eastAsia="宋体" w:hint="eastAsia"/>
          <w:sz w:val="24"/>
        </w:rPr>
        <w:t>（签章）</w:t>
        <w:tab/>
        <w:t>填表人：</w:t>
        <w:tab/>
        <w:t>填报日期：</w:t>
      </w: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
        <w:gridCol w:w="483"/>
        <w:gridCol w:w="343"/>
        <w:gridCol w:w="353"/>
        <w:gridCol w:w="730"/>
        <w:gridCol w:w="1704"/>
        <w:gridCol w:w="2989"/>
        <w:gridCol w:w="1578"/>
        <w:gridCol w:w="1767"/>
        <w:gridCol w:w="2658"/>
        <w:gridCol w:w="591"/>
        <w:gridCol w:w="253"/>
        <w:gridCol w:w="320"/>
      </w:tblGrid>
      <w:tr>
        <w:trPr>
          <w:trHeight w:val="563" w:hRule="atLeast"/>
        </w:trPr>
        <w:tc>
          <w:tcPr>
            <w:tcW w:w="288" w:type="dxa"/>
            <w:vMerge w:val="restart"/>
          </w:tcPr>
          <w:p>
            <w:pPr>
              <w:pStyle w:val="TableParagraph"/>
              <w:rPr>
                <w:sz w:val="18"/>
              </w:rPr>
            </w:pPr>
          </w:p>
          <w:p>
            <w:pPr>
              <w:pStyle w:val="TableParagraph"/>
              <w:rPr>
                <w:sz w:val="18"/>
              </w:rPr>
            </w:pPr>
          </w:p>
          <w:p>
            <w:pPr>
              <w:pStyle w:val="TableParagraph"/>
              <w:rPr>
                <w:sz w:val="18"/>
              </w:rPr>
            </w:pPr>
          </w:p>
          <w:p>
            <w:pPr>
              <w:pStyle w:val="TableParagraph"/>
              <w:spacing w:line="583" w:lineRule="auto" w:before="138"/>
              <w:ind w:left="107" w:right="-15"/>
              <w:rPr>
                <w:rFonts w:ascii="黑体" w:eastAsia="黑体" w:hint="eastAsia"/>
                <w:sz w:val="18"/>
              </w:rPr>
            </w:pPr>
            <w:r>
              <w:rPr>
                <w:rFonts w:ascii="黑体" w:eastAsia="黑体" w:hint="eastAsia"/>
                <w:sz w:val="18"/>
              </w:rPr>
              <w:t>序号</w:t>
            </w:r>
          </w:p>
        </w:tc>
        <w:tc>
          <w:tcPr>
            <w:tcW w:w="483" w:type="dxa"/>
            <w:vMerge w:val="restart"/>
          </w:tcPr>
          <w:p>
            <w:pPr>
              <w:pStyle w:val="TableParagraph"/>
              <w:spacing w:before="12"/>
              <w:rPr>
                <w:sz w:val="20"/>
              </w:rPr>
            </w:pPr>
          </w:p>
          <w:p>
            <w:pPr>
              <w:pStyle w:val="TableParagraph"/>
              <w:spacing w:line="583" w:lineRule="auto"/>
              <w:ind w:left="151" w:right="141"/>
              <w:jc w:val="both"/>
              <w:rPr>
                <w:rFonts w:ascii="黑体" w:eastAsia="黑体" w:hint="eastAsia"/>
                <w:sz w:val="18"/>
              </w:rPr>
            </w:pPr>
            <w:r>
              <w:rPr>
                <w:rFonts w:ascii="黑体" w:eastAsia="黑体" w:hint="eastAsia"/>
                <w:sz w:val="18"/>
              </w:rPr>
              <w:t>事项名</w:t>
            </w:r>
          </w:p>
          <w:p>
            <w:pPr>
              <w:pStyle w:val="TableParagraph"/>
              <w:spacing w:line="230" w:lineRule="exact"/>
              <w:ind w:left="151"/>
              <w:rPr>
                <w:rFonts w:ascii="黑体" w:eastAsia="黑体" w:hint="eastAsia"/>
                <w:sz w:val="18"/>
              </w:rPr>
            </w:pPr>
            <w:r>
              <w:rPr>
                <w:rFonts w:ascii="黑体" w:eastAsia="黑体" w:hint="eastAsia"/>
                <w:sz w:val="18"/>
              </w:rPr>
              <w:t>称</w:t>
            </w:r>
          </w:p>
        </w:tc>
        <w:tc>
          <w:tcPr>
            <w:tcW w:w="343" w:type="dxa"/>
            <w:vMerge w:val="restart"/>
          </w:tcPr>
          <w:p>
            <w:pPr>
              <w:pStyle w:val="TableParagraph"/>
              <w:spacing w:before="12"/>
              <w:rPr>
                <w:sz w:val="20"/>
              </w:rPr>
            </w:pPr>
          </w:p>
          <w:p>
            <w:pPr>
              <w:pStyle w:val="TableParagraph"/>
              <w:spacing w:line="583" w:lineRule="auto"/>
              <w:ind w:left="107" w:right="43"/>
              <w:jc w:val="both"/>
              <w:rPr>
                <w:rFonts w:ascii="黑体" w:eastAsia="黑体" w:hint="eastAsia"/>
                <w:sz w:val="18"/>
              </w:rPr>
            </w:pPr>
            <w:r>
              <w:rPr>
                <w:rFonts w:ascii="黑体" w:eastAsia="黑体" w:hint="eastAsia"/>
                <w:sz w:val="18"/>
              </w:rPr>
              <w:t>子项名</w:t>
            </w:r>
          </w:p>
          <w:p>
            <w:pPr>
              <w:pStyle w:val="TableParagraph"/>
              <w:spacing w:line="230" w:lineRule="exact"/>
              <w:ind w:left="107"/>
              <w:rPr>
                <w:rFonts w:ascii="黑体" w:eastAsia="黑体" w:hint="eastAsia"/>
                <w:sz w:val="18"/>
              </w:rPr>
            </w:pPr>
            <w:r>
              <w:rPr>
                <w:rFonts w:ascii="黑体" w:eastAsia="黑体" w:hint="eastAsia"/>
                <w:sz w:val="18"/>
              </w:rPr>
              <w:t>称</w:t>
            </w:r>
          </w:p>
        </w:tc>
        <w:tc>
          <w:tcPr>
            <w:tcW w:w="353" w:type="dxa"/>
            <w:vMerge w:val="restart"/>
          </w:tcPr>
          <w:p>
            <w:pPr>
              <w:pStyle w:val="TableParagraph"/>
              <w:spacing w:before="12"/>
              <w:rPr>
                <w:sz w:val="20"/>
              </w:rPr>
            </w:pPr>
          </w:p>
          <w:p>
            <w:pPr>
              <w:pStyle w:val="TableParagraph"/>
              <w:spacing w:line="583" w:lineRule="auto"/>
              <w:ind w:left="107" w:right="53"/>
              <w:jc w:val="both"/>
              <w:rPr>
                <w:rFonts w:ascii="黑体" w:eastAsia="黑体" w:hint="eastAsia"/>
                <w:sz w:val="18"/>
              </w:rPr>
            </w:pPr>
            <w:r>
              <w:rPr>
                <w:rFonts w:ascii="黑体" w:eastAsia="黑体" w:hint="eastAsia"/>
                <w:sz w:val="18"/>
              </w:rPr>
              <w:t>事项类</w:t>
            </w:r>
          </w:p>
          <w:p>
            <w:pPr>
              <w:pStyle w:val="TableParagraph"/>
              <w:spacing w:line="230" w:lineRule="exact"/>
              <w:ind w:left="107"/>
              <w:rPr>
                <w:rFonts w:ascii="黑体" w:eastAsia="黑体" w:hint="eastAsia"/>
                <w:sz w:val="18"/>
              </w:rPr>
            </w:pPr>
            <w:r>
              <w:rPr>
                <w:rFonts w:ascii="黑体" w:eastAsia="黑体" w:hint="eastAsia"/>
                <w:sz w:val="18"/>
              </w:rPr>
              <w:t>别</w:t>
            </w:r>
          </w:p>
        </w:tc>
        <w:tc>
          <w:tcPr>
            <w:tcW w:w="730" w:type="dxa"/>
            <w:vMerge w:val="restart"/>
          </w:tcPr>
          <w:p>
            <w:pPr>
              <w:pStyle w:val="TableParagraph"/>
              <w:rPr>
                <w:sz w:val="18"/>
              </w:rPr>
            </w:pPr>
          </w:p>
          <w:p>
            <w:pPr>
              <w:pStyle w:val="TableParagraph"/>
              <w:rPr>
                <w:sz w:val="18"/>
              </w:rPr>
            </w:pPr>
          </w:p>
          <w:p>
            <w:pPr>
              <w:pStyle w:val="TableParagraph"/>
              <w:rPr>
                <w:sz w:val="18"/>
              </w:rPr>
            </w:pPr>
          </w:p>
          <w:p>
            <w:pPr>
              <w:pStyle w:val="TableParagraph"/>
              <w:spacing w:line="583" w:lineRule="auto" w:before="138"/>
              <w:ind w:left="184" w:right="173"/>
              <w:rPr>
                <w:rFonts w:ascii="黑体" w:eastAsia="黑体" w:hint="eastAsia"/>
                <w:sz w:val="18"/>
              </w:rPr>
            </w:pPr>
            <w:r>
              <w:rPr>
                <w:rFonts w:ascii="黑体" w:eastAsia="黑体" w:hint="eastAsia"/>
                <w:sz w:val="18"/>
              </w:rPr>
              <w:t>事项编码</w:t>
            </w:r>
          </w:p>
        </w:tc>
        <w:tc>
          <w:tcPr>
            <w:tcW w:w="1704"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4"/>
              </w:rPr>
            </w:pPr>
          </w:p>
          <w:p>
            <w:pPr>
              <w:pStyle w:val="TableParagraph"/>
              <w:ind w:left="491"/>
              <w:rPr>
                <w:rFonts w:ascii="黑体" w:eastAsia="黑体" w:hint="eastAsia"/>
                <w:sz w:val="18"/>
              </w:rPr>
            </w:pPr>
            <w:r>
              <w:rPr>
                <w:rFonts w:ascii="黑体" w:eastAsia="黑体" w:hint="eastAsia"/>
                <w:sz w:val="18"/>
              </w:rPr>
              <w:t>设立依据</w:t>
            </w:r>
          </w:p>
        </w:tc>
        <w:tc>
          <w:tcPr>
            <w:tcW w:w="6334" w:type="dxa"/>
            <w:gridSpan w:val="3"/>
          </w:tcPr>
          <w:p>
            <w:pPr>
              <w:pStyle w:val="TableParagraph"/>
              <w:spacing w:before="1"/>
              <w:rPr>
                <w:sz w:val="21"/>
              </w:rPr>
            </w:pPr>
          </w:p>
          <w:p>
            <w:pPr>
              <w:pStyle w:val="TableParagraph"/>
              <w:spacing w:before="1"/>
              <w:ind w:left="2785" w:right="2779"/>
              <w:jc w:val="center"/>
              <w:rPr>
                <w:rFonts w:ascii="黑体" w:eastAsia="黑体" w:hint="eastAsia"/>
                <w:sz w:val="18"/>
              </w:rPr>
            </w:pPr>
            <w:r>
              <w:rPr>
                <w:rFonts w:ascii="黑体" w:eastAsia="黑体" w:hint="eastAsia"/>
                <w:sz w:val="18"/>
              </w:rPr>
              <w:t>申请材料</w:t>
            </w:r>
          </w:p>
        </w:tc>
        <w:tc>
          <w:tcPr>
            <w:tcW w:w="2658" w:type="dxa"/>
            <w:vMerge w:val="restart"/>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7"/>
              <w:rPr>
                <w:sz w:val="14"/>
              </w:rPr>
            </w:pPr>
          </w:p>
          <w:p>
            <w:pPr>
              <w:pStyle w:val="TableParagraph"/>
              <w:ind w:left="944" w:right="943"/>
              <w:jc w:val="center"/>
              <w:rPr>
                <w:rFonts w:ascii="黑体" w:eastAsia="黑体" w:hint="eastAsia"/>
                <w:sz w:val="18"/>
              </w:rPr>
            </w:pPr>
            <w:r>
              <w:rPr>
                <w:rFonts w:ascii="黑体" w:eastAsia="黑体" w:hint="eastAsia"/>
                <w:sz w:val="18"/>
              </w:rPr>
              <w:t>办理流程</w:t>
            </w:r>
          </w:p>
        </w:tc>
        <w:tc>
          <w:tcPr>
            <w:tcW w:w="591" w:type="dxa"/>
            <w:vMerge w:val="restart"/>
          </w:tcPr>
          <w:p>
            <w:pPr>
              <w:pStyle w:val="TableParagraph"/>
              <w:spacing w:before="12"/>
              <w:rPr>
                <w:sz w:val="20"/>
              </w:rPr>
            </w:pPr>
          </w:p>
          <w:p>
            <w:pPr>
              <w:pStyle w:val="TableParagraph"/>
              <w:spacing w:line="583" w:lineRule="auto"/>
              <w:ind w:left="109" w:right="109"/>
              <w:jc w:val="both"/>
              <w:rPr>
                <w:rFonts w:ascii="黑体" w:eastAsia="黑体" w:hint="eastAsia"/>
                <w:sz w:val="18"/>
              </w:rPr>
            </w:pPr>
            <w:r>
              <w:rPr>
                <w:rFonts w:ascii="黑体" w:eastAsia="黑体" w:hint="eastAsia"/>
                <w:sz w:val="18"/>
              </w:rPr>
              <w:t>收费依据及标</w:t>
            </w:r>
          </w:p>
          <w:p>
            <w:pPr>
              <w:pStyle w:val="TableParagraph"/>
              <w:spacing w:line="230" w:lineRule="exact"/>
              <w:jc w:val="center"/>
              <w:rPr>
                <w:rFonts w:ascii="黑体" w:eastAsia="黑体" w:hint="eastAsia"/>
                <w:sz w:val="18"/>
              </w:rPr>
            </w:pPr>
            <w:r>
              <w:rPr>
                <w:rFonts w:ascii="黑体" w:eastAsia="黑体" w:hint="eastAsia"/>
                <w:sz w:val="18"/>
              </w:rPr>
              <w:t>准</w:t>
            </w:r>
          </w:p>
        </w:tc>
        <w:tc>
          <w:tcPr>
            <w:tcW w:w="253" w:type="dxa"/>
            <w:vMerge w:val="restart"/>
          </w:tcPr>
          <w:p>
            <w:pPr>
              <w:pStyle w:val="TableParagraph"/>
              <w:spacing w:before="12"/>
              <w:rPr>
                <w:sz w:val="20"/>
              </w:rPr>
            </w:pPr>
          </w:p>
          <w:p>
            <w:pPr>
              <w:pStyle w:val="TableParagraph"/>
              <w:spacing w:line="583" w:lineRule="auto"/>
              <w:ind w:left="104" w:right="-44"/>
              <w:jc w:val="both"/>
              <w:rPr>
                <w:rFonts w:ascii="黑体" w:eastAsia="黑体" w:hint="eastAsia"/>
                <w:sz w:val="18"/>
              </w:rPr>
            </w:pPr>
            <w:r>
              <w:rPr>
                <w:rFonts w:ascii="黑体" w:eastAsia="黑体" w:hint="eastAsia"/>
                <w:sz w:val="18"/>
              </w:rPr>
              <w:t>承诺时</w:t>
            </w:r>
          </w:p>
          <w:p>
            <w:pPr>
              <w:pStyle w:val="TableParagraph"/>
              <w:spacing w:line="230" w:lineRule="exact"/>
              <w:ind w:left="104" w:right="-44"/>
              <w:rPr>
                <w:rFonts w:ascii="黑体" w:eastAsia="黑体" w:hint="eastAsia"/>
                <w:sz w:val="18"/>
              </w:rPr>
            </w:pPr>
            <w:r>
              <w:rPr>
                <w:rFonts w:ascii="黑体" w:eastAsia="黑体" w:hint="eastAsia"/>
                <w:sz w:val="18"/>
              </w:rPr>
              <w:t>限</w:t>
            </w:r>
          </w:p>
        </w:tc>
        <w:tc>
          <w:tcPr>
            <w:tcW w:w="320" w:type="dxa"/>
            <w:vMerge w:val="restart"/>
          </w:tcPr>
          <w:p>
            <w:pPr>
              <w:pStyle w:val="TableParagraph"/>
              <w:spacing w:before="12"/>
              <w:rPr>
                <w:sz w:val="20"/>
              </w:rPr>
            </w:pPr>
          </w:p>
          <w:p>
            <w:pPr>
              <w:pStyle w:val="TableParagraph"/>
              <w:spacing w:line="583" w:lineRule="auto"/>
              <w:ind w:left="103" w:right="24"/>
              <w:jc w:val="both"/>
              <w:rPr>
                <w:rFonts w:ascii="黑体" w:eastAsia="黑体" w:hint="eastAsia"/>
                <w:sz w:val="18"/>
              </w:rPr>
            </w:pPr>
            <w:r>
              <w:rPr>
                <w:rFonts w:ascii="黑体" w:eastAsia="黑体" w:hint="eastAsia"/>
                <w:sz w:val="18"/>
              </w:rPr>
              <w:t>表单填</w:t>
            </w:r>
          </w:p>
          <w:p>
            <w:pPr>
              <w:pStyle w:val="TableParagraph"/>
              <w:spacing w:line="230" w:lineRule="exact"/>
              <w:ind w:left="103"/>
              <w:rPr>
                <w:rFonts w:ascii="黑体" w:eastAsia="黑体" w:hint="eastAsia"/>
                <w:sz w:val="18"/>
              </w:rPr>
            </w:pPr>
            <w:r>
              <w:rPr>
                <w:rFonts w:ascii="黑体" w:eastAsia="黑体" w:hint="eastAsia"/>
                <w:sz w:val="18"/>
              </w:rPr>
              <w:t>写</w:t>
            </w:r>
          </w:p>
        </w:tc>
      </w:tr>
      <w:tr>
        <w:trPr>
          <w:trHeight w:val="1668"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8"/>
              </w:rPr>
            </w:pPr>
          </w:p>
          <w:p>
            <w:pPr>
              <w:pStyle w:val="TableParagraph"/>
              <w:rPr>
                <w:sz w:val="18"/>
              </w:rPr>
            </w:pPr>
          </w:p>
          <w:p>
            <w:pPr>
              <w:pStyle w:val="TableParagraph"/>
              <w:rPr>
                <w:sz w:val="18"/>
              </w:rPr>
            </w:pPr>
          </w:p>
          <w:p>
            <w:pPr>
              <w:pStyle w:val="TableParagraph"/>
              <w:spacing w:before="131"/>
              <w:ind w:left="1112" w:right="1106"/>
              <w:jc w:val="center"/>
              <w:rPr>
                <w:rFonts w:ascii="黑体" w:eastAsia="黑体" w:hint="eastAsia"/>
                <w:sz w:val="18"/>
              </w:rPr>
            </w:pPr>
            <w:r>
              <w:rPr>
                <w:rFonts w:ascii="黑体" w:eastAsia="黑体" w:hint="eastAsia"/>
                <w:sz w:val="18"/>
              </w:rPr>
              <w:t>材料名称</w:t>
            </w:r>
          </w:p>
        </w:tc>
        <w:tc>
          <w:tcPr>
            <w:tcW w:w="1578" w:type="dxa"/>
          </w:tcPr>
          <w:p>
            <w:pPr>
              <w:pStyle w:val="TableParagraph"/>
              <w:rPr>
                <w:sz w:val="18"/>
              </w:rPr>
            </w:pPr>
          </w:p>
          <w:p>
            <w:pPr>
              <w:pStyle w:val="TableParagraph"/>
              <w:rPr>
                <w:sz w:val="18"/>
              </w:rPr>
            </w:pPr>
          </w:p>
          <w:p>
            <w:pPr>
              <w:pStyle w:val="TableParagraph"/>
              <w:rPr>
                <w:sz w:val="18"/>
              </w:rPr>
            </w:pPr>
          </w:p>
          <w:p>
            <w:pPr>
              <w:pStyle w:val="TableParagraph"/>
              <w:spacing w:before="131"/>
              <w:ind w:left="53" w:right="49"/>
              <w:jc w:val="center"/>
              <w:rPr>
                <w:rFonts w:ascii="黑体" w:eastAsia="黑体" w:hint="eastAsia"/>
                <w:sz w:val="18"/>
              </w:rPr>
            </w:pPr>
            <w:r>
              <w:rPr>
                <w:rFonts w:ascii="黑体" w:eastAsia="黑体" w:hint="eastAsia"/>
                <w:sz w:val="18"/>
              </w:rPr>
              <w:t>数量</w:t>
            </w:r>
          </w:p>
        </w:tc>
        <w:tc>
          <w:tcPr>
            <w:tcW w:w="1767" w:type="dxa"/>
          </w:tcPr>
          <w:p>
            <w:pPr>
              <w:pStyle w:val="TableParagraph"/>
              <w:rPr>
                <w:sz w:val="18"/>
              </w:rPr>
            </w:pPr>
          </w:p>
          <w:p>
            <w:pPr>
              <w:pStyle w:val="TableParagraph"/>
              <w:rPr>
                <w:sz w:val="18"/>
              </w:rPr>
            </w:pPr>
          </w:p>
          <w:p>
            <w:pPr>
              <w:pStyle w:val="TableParagraph"/>
              <w:rPr>
                <w:sz w:val="18"/>
              </w:rPr>
            </w:pPr>
          </w:p>
          <w:p>
            <w:pPr>
              <w:pStyle w:val="TableParagraph"/>
              <w:spacing w:before="131"/>
              <w:ind w:left="108" w:right="103"/>
              <w:jc w:val="center"/>
              <w:rPr>
                <w:rFonts w:ascii="黑体" w:eastAsia="黑体" w:hint="eastAsia"/>
                <w:sz w:val="18"/>
              </w:rPr>
            </w:pPr>
            <w:r>
              <w:rPr>
                <w:rFonts w:ascii="黑体" w:eastAsia="黑体" w:hint="eastAsia"/>
                <w:sz w:val="18"/>
              </w:rPr>
              <w:t>材料来源</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120" w:hRule="atLeast"/>
        </w:trPr>
        <w:tc>
          <w:tcPr>
            <w:tcW w:w="288"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0"/>
              <w:rPr>
                <w:sz w:val="17"/>
              </w:rPr>
            </w:pPr>
          </w:p>
          <w:p>
            <w:pPr>
              <w:pStyle w:val="TableParagraph"/>
              <w:ind w:left="13"/>
              <w:jc w:val="center"/>
              <w:rPr>
                <w:sz w:val="15"/>
              </w:rPr>
            </w:pPr>
            <w:r>
              <w:rPr>
                <w:w w:val="100"/>
                <w:sz w:val="15"/>
              </w:rPr>
              <w:t>1</w:t>
            </w:r>
          </w:p>
        </w:tc>
        <w:tc>
          <w:tcPr>
            <w:tcW w:w="483" w:type="dxa"/>
            <w:vMerge w:val="restart"/>
          </w:tcPr>
          <w:p>
            <w:pPr>
              <w:pStyle w:val="TableParagraph"/>
              <w:rPr>
                <w:sz w:val="14"/>
              </w:rPr>
            </w:pPr>
          </w:p>
          <w:p>
            <w:pPr>
              <w:pStyle w:val="TableParagraph"/>
              <w:spacing w:before="10"/>
              <w:rPr>
                <w:sz w:val="10"/>
              </w:rPr>
            </w:pPr>
          </w:p>
          <w:p>
            <w:pPr>
              <w:pStyle w:val="TableParagraph"/>
              <w:spacing w:line="700" w:lineRule="auto"/>
              <w:ind w:left="165" w:right="154"/>
              <w:jc w:val="both"/>
              <w:rPr>
                <w:sz w:val="15"/>
              </w:rPr>
            </w:pPr>
            <w:r>
              <w:rPr>
                <w:sz w:val="15"/>
              </w:rPr>
              <w:t>商品房预售许可证</w:t>
            </w:r>
          </w:p>
          <w:p>
            <w:pPr>
              <w:pStyle w:val="TableParagraph"/>
              <w:spacing w:line="184" w:lineRule="exact"/>
              <w:ind w:left="165"/>
              <w:rPr>
                <w:sz w:val="15"/>
              </w:rPr>
            </w:pPr>
            <w:r>
              <w:rPr>
                <w:w w:val="100"/>
                <w:sz w:val="15"/>
              </w:rPr>
              <w:t>明</w:t>
            </w:r>
          </w:p>
        </w:tc>
        <w:tc>
          <w:tcPr>
            <w:tcW w:w="343" w:type="dxa"/>
            <w:vMerge w:val="restart"/>
          </w:tcPr>
          <w:p>
            <w:pPr>
              <w:pStyle w:val="TableParagraph"/>
              <w:rPr>
                <w:sz w:val="14"/>
              </w:rPr>
            </w:pPr>
          </w:p>
          <w:p>
            <w:pPr>
              <w:pStyle w:val="TableParagraph"/>
              <w:spacing w:before="10"/>
              <w:rPr>
                <w:sz w:val="10"/>
              </w:rPr>
            </w:pPr>
          </w:p>
          <w:p>
            <w:pPr>
              <w:pStyle w:val="TableParagraph"/>
              <w:spacing w:line="700" w:lineRule="auto"/>
              <w:ind w:left="107" w:right="72"/>
              <w:jc w:val="both"/>
              <w:rPr>
                <w:sz w:val="15"/>
              </w:rPr>
            </w:pPr>
            <w:r>
              <w:rPr>
                <w:sz w:val="15"/>
              </w:rPr>
              <w:t>商品房预售许可证</w:t>
            </w:r>
          </w:p>
          <w:p>
            <w:pPr>
              <w:pStyle w:val="TableParagraph"/>
              <w:spacing w:line="184" w:lineRule="exact"/>
              <w:ind w:left="107"/>
              <w:rPr>
                <w:sz w:val="15"/>
              </w:rPr>
            </w:pPr>
            <w:r>
              <w:rPr>
                <w:w w:val="100"/>
                <w:sz w:val="15"/>
              </w:rPr>
              <w:t>明</w:t>
            </w:r>
          </w:p>
        </w:tc>
        <w:tc>
          <w:tcPr>
            <w:tcW w:w="353"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line="698" w:lineRule="auto" w:before="105"/>
              <w:ind w:left="107" w:right="83"/>
              <w:jc w:val="both"/>
              <w:rPr>
                <w:sz w:val="15"/>
              </w:rPr>
            </w:pPr>
            <w:r>
              <w:rPr>
                <w:sz w:val="15"/>
              </w:rPr>
              <w:t>行政许可</w:t>
            </w:r>
          </w:p>
        </w:tc>
        <w:tc>
          <w:tcPr>
            <w:tcW w:w="730"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2"/>
              <w:rPr>
                <w:sz w:val="15"/>
              </w:rPr>
            </w:pPr>
          </w:p>
          <w:p>
            <w:pPr>
              <w:pStyle w:val="TableParagraph"/>
              <w:ind w:left="119" w:right="110"/>
              <w:jc w:val="center"/>
              <w:rPr>
                <w:sz w:val="15"/>
              </w:rPr>
            </w:pPr>
            <w:r>
              <w:rPr>
                <w:sz w:val="15"/>
              </w:rPr>
              <w:t>371300</w:t>
            </w:r>
          </w:p>
          <w:p>
            <w:pPr>
              <w:pStyle w:val="TableParagraph"/>
              <w:rPr>
                <w:sz w:val="14"/>
              </w:rPr>
            </w:pPr>
          </w:p>
          <w:p>
            <w:pPr>
              <w:pStyle w:val="TableParagraph"/>
              <w:spacing w:before="10"/>
              <w:rPr>
                <w:sz w:val="14"/>
              </w:rPr>
            </w:pPr>
          </w:p>
          <w:p>
            <w:pPr>
              <w:pStyle w:val="TableParagraph"/>
              <w:spacing w:before="1"/>
              <w:ind w:left="119" w:right="110"/>
              <w:jc w:val="center"/>
              <w:rPr>
                <w:sz w:val="15"/>
              </w:rPr>
            </w:pPr>
            <w:r>
              <w:rPr>
                <w:sz w:val="15"/>
              </w:rPr>
              <w:t>521010</w:t>
            </w:r>
          </w:p>
          <w:p>
            <w:pPr>
              <w:pStyle w:val="TableParagraph"/>
              <w:rPr>
                <w:sz w:val="14"/>
              </w:rPr>
            </w:pPr>
          </w:p>
          <w:p>
            <w:pPr>
              <w:pStyle w:val="TableParagraph"/>
              <w:spacing w:before="8"/>
              <w:rPr>
                <w:sz w:val="14"/>
              </w:rPr>
            </w:pPr>
          </w:p>
          <w:p>
            <w:pPr>
              <w:pStyle w:val="TableParagraph"/>
              <w:ind w:left="7"/>
              <w:jc w:val="center"/>
              <w:rPr>
                <w:sz w:val="15"/>
              </w:rPr>
            </w:pPr>
            <w:r>
              <w:rPr>
                <w:w w:val="100"/>
                <w:sz w:val="15"/>
              </w:rPr>
              <w:t>1</w:t>
            </w:r>
          </w:p>
        </w:tc>
        <w:tc>
          <w:tcPr>
            <w:tcW w:w="1704" w:type="dxa"/>
            <w:vMerge w:val="restart"/>
          </w:tcPr>
          <w:p>
            <w:pPr>
              <w:pStyle w:val="TableParagraph"/>
              <w:rPr>
                <w:sz w:val="14"/>
              </w:rPr>
            </w:pPr>
          </w:p>
          <w:p>
            <w:pPr>
              <w:pStyle w:val="TableParagraph"/>
              <w:spacing w:line="698" w:lineRule="auto" w:before="119"/>
              <w:ind w:left="107" w:right="21"/>
              <w:jc w:val="both"/>
              <w:rPr>
                <w:sz w:val="15"/>
              </w:rPr>
            </w:pPr>
            <w:r>
              <w:rPr>
                <w:spacing w:val="-7"/>
                <w:sz w:val="15"/>
              </w:rPr>
              <w:t>1</w:t>
            </w:r>
            <w:r>
              <w:rPr>
                <w:spacing w:val="-3"/>
                <w:sz w:val="15"/>
              </w:rPr>
              <w:t>.《中华人民共和国城</w:t>
            </w:r>
            <w:r>
              <w:rPr>
                <w:spacing w:val="-15"/>
                <w:sz w:val="15"/>
              </w:rPr>
              <w:t>市 房 地 产 管 理 法 》</w:t>
            </w:r>
          </w:p>
          <w:p>
            <w:pPr>
              <w:pStyle w:val="TableParagraph"/>
              <w:spacing w:line="698" w:lineRule="auto" w:before="3"/>
              <w:ind w:left="107" w:right="94"/>
              <w:jc w:val="both"/>
              <w:rPr>
                <w:sz w:val="15"/>
              </w:rPr>
            </w:pPr>
            <w:r>
              <w:rPr>
                <w:sz w:val="15"/>
              </w:rPr>
              <w:t>（1994 年 7 月 5</w:t>
            </w:r>
            <w:r>
              <w:rPr>
                <w:spacing w:val="23"/>
                <w:sz w:val="15"/>
              </w:rPr>
              <w:t> 日</w:t>
            </w:r>
            <w:r>
              <w:rPr>
                <w:spacing w:val="11"/>
                <w:sz w:val="15"/>
              </w:rPr>
              <w:t>第八届全国人民代表大会常务委员会第八</w:t>
            </w:r>
            <w:r>
              <w:rPr>
                <w:spacing w:val="-21"/>
                <w:sz w:val="15"/>
              </w:rPr>
              <w:t>次 会 议 通 过 ， 根 据</w:t>
            </w:r>
            <w:r>
              <w:rPr>
                <w:sz w:val="15"/>
              </w:rPr>
              <w:t>2009</w:t>
            </w:r>
            <w:r>
              <w:rPr>
                <w:spacing w:val="-5"/>
                <w:sz w:val="15"/>
              </w:rPr>
              <w:t> 年 </w:t>
            </w:r>
            <w:r>
              <w:rPr>
                <w:sz w:val="15"/>
              </w:rPr>
              <w:t>8 月 27</w:t>
            </w:r>
            <w:r>
              <w:rPr>
                <w:spacing w:val="-3"/>
                <w:sz w:val="15"/>
              </w:rPr>
              <w:t> 日第</w:t>
            </w:r>
            <w:r>
              <w:rPr>
                <w:spacing w:val="11"/>
                <w:sz w:val="15"/>
              </w:rPr>
              <w:t>十一届全国人民代表</w:t>
            </w:r>
          </w:p>
          <w:p>
            <w:pPr>
              <w:pStyle w:val="TableParagraph"/>
              <w:spacing w:before="5"/>
              <w:ind w:left="107"/>
              <w:rPr>
                <w:sz w:val="15"/>
              </w:rPr>
            </w:pPr>
            <w:r>
              <w:rPr>
                <w:spacing w:val="12"/>
                <w:sz w:val="15"/>
              </w:rPr>
              <w:t>大会常务委员会第十</w:t>
            </w:r>
          </w:p>
        </w:tc>
        <w:tc>
          <w:tcPr>
            <w:tcW w:w="2989" w:type="dxa"/>
          </w:tcPr>
          <w:p>
            <w:pPr>
              <w:pStyle w:val="TableParagraph"/>
              <w:spacing w:before="61"/>
              <w:ind w:left="107"/>
              <w:rPr>
                <w:sz w:val="15"/>
              </w:rPr>
            </w:pPr>
            <w:r>
              <w:rPr>
                <w:sz w:val="15"/>
              </w:rPr>
              <w:t>1.商品房预售许可证明核发申请表</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spacing w:line="560" w:lineRule="exact"/>
              <w:ind w:left="655" w:right="120" w:hanging="524"/>
              <w:rPr>
                <w:sz w:val="15"/>
              </w:rPr>
            </w:pPr>
            <w:r>
              <w:rPr>
                <w:sz w:val="15"/>
              </w:rPr>
              <w:t>房屋交易和产权管理系统下载</w:t>
            </w:r>
          </w:p>
        </w:tc>
        <w:tc>
          <w:tcPr>
            <w:tcW w:w="2658" w:type="dxa"/>
            <w:vMerge w:val="restart"/>
          </w:tcPr>
          <w:p>
            <w:pPr>
              <w:pStyle w:val="TableParagraph"/>
              <w:rPr>
                <w:sz w:val="14"/>
              </w:rPr>
            </w:pPr>
          </w:p>
          <w:p>
            <w:pPr>
              <w:pStyle w:val="TableParagraph"/>
              <w:numPr>
                <w:ilvl w:val="0"/>
                <w:numId w:val="9"/>
              </w:numPr>
              <w:tabs>
                <w:tab w:pos="259" w:val="left" w:leader="none"/>
              </w:tabs>
              <w:spacing w:line="240" w:lineRule="auto" w:before="119" w:after="0"/>
              <w:ind w:left="258" w:right="0" w:hanging="154"/>
              <w:jc w:val="left"/>
              <w:rPr>
                <w:sz w:val="15"/>
              </w:rPr>
            </w:pPr>
            <w:r>
              <w:rPr>
                <w:sz w:val="15"/>
              </w:rPr>
              <w:t>申请</w:t>
            </w:r>
          </w:p>
          <w:p>
            <w:pPr>
              <w:pStyle w:val="TableParagraph"/>
              <w:rPr>
                <w:sz w:val="14"/>
              </w:rPr>
            </w:pPr>
          </w:p>
          <w:p>
            <w:pPr>
              <w:pStyle w:val="TableParagraph"/>
              <w:spacing w:before="8"/>
              <w:rPr>
                <w:sz w:val="14"/>
              </w:rPr>
            </w:pPr>
          </w:p>
          <w:p>
            <w:pPr>
              <w:pStyle w:val="TableParagraph"/>
              <w:spacing w:line="700" w:lineRule="auto"/>
              <w:ind w:left="105" w:right="138"/>
              <w:rPr>
                <w:sz w:val="15"/>
              </w:rPr>
            </w:pPr>
            <w:r>
              <w:rPr>
                <w:sz w:val="15"/>
              </w:rPr>
              <w:t>申请人登陆山东政务服务网，填报提交申请材料。</w:t>
            </w:r>
          </w:p>
          <w:p>
            <w:pPr>
              <w:pStyle w:val="TableParagraph"/>
              <w:numPr>
                <w:ilvl w:val="0"/>
                <w:numId w:val="9"/>
              </w:numPr>
              <w:tabs>
                <w:tab w:pos="259" w:val="left" w:leader="none"/>
              </w:tabs>
              <w:spacing w:line="191" w:lineRule="exact" w:before="0" w:after="0"/>
              <w:ind w:left="258" w:right="0" w:hanging="154"/>
              <w:jc w:val="left"/>
              <w:rPr>
                <w:sz w:val="15"/>
              </w:rPr>
            </w:pPr>
            <w:r>
              <w:rPr>
                <w:sz w:val="15"/>
              </w:rPr>
              <w:t>受理</w:t>
            </w:r>
          </w:p>
          <w:p>
            <w:pPr>
              <w:pStyle w:val="TableParagraph"/>
              <w:rPr>
                <w:sz w:val="14"/>
              </w:rPr>
            </w:pPr>
          </w:p>
          <w:p>
            <w:pPr>
              <w:pStyle w:val="TableParagraph"/>
              <w:spacing w:before="8"/>
              <w:rPr>
                <w:sz w:val="14"/>
              </w:rPr>
            </w:pPr>
          </w:p>
          <w:p>
            <w:pPr>
              <w:pStyle w:val="TableParagraph"/>
              <w:spacing w:line="700" w:lineRule="auto"/>
              <w:ind w:left="105" w:right="138"/>
              <w:jc w:val="both"/>
              <w:rPr>
                <w:sz w:val="15"/>
              </w:rPr>
            </w:pPr>
            <w:r>
              <w:rPr>
                <w:sz w:val="15"/>
              </w:rPr>
              <w:t>①对申请材料是否齐全、是否符合法定形式、是否填写规范完整等进行审核；</w:t>
            </w:r>
          </w:p>
          <w:p>
            <w:pPr>
              <w:pStyle w:val="TableParagraph"/>
              <w:spacing w:line="189" w:lineRule="exact"/>
              <w:ind w:left="105"/>
              <w:rPr>
                <w:sz w:val="15"/>
              </w:rPr>
            </w:pPr>
            <w:r>
              <w:rPr>
                <w:spacing w:val="-3"/>
                <w:sz w:val="15"/>
              </w:rPr>
              <w:t>②实地现场勘察，对项目位置、房屋</w:t>
            </w:r>
          </w:p>
          <w:p>
            <w:pPr>
              <w:pStyle w:val="TableParagraph"/>
              <w:rPr>
                <w:sz w:val="14"/>
              </w:rPr>
            </w:pPr>
          </w:p>
          <w:p>
            <w:pPr>
              <w:pStyle w:val="TableParagraph"/>
              <w:spacing w:before="11"/>
              <w:rPr>
                <w:sz w:val="14"/>
              </w:rPr>
            </w:pPr>
          </w:p>
          <w:p>
            <w:pPr>
              <w:pStyle w:val="TableParagraph"/>
              <w:ind w:left="105"/>
              <w:rPr>
                <w:sz w:val="15"/>
              </w:rPr>
            </w:pPr>
            <w:r>
              <w:rPr>
                <w:spacing w:val="-3"/>
                <w:sz w:val="15"/>
              </w:rPr>
              <w:t>建筑建设进度进行实地勘察并出具勘</w:t>
            </w:r>
          </w:p>
        </w:tc>
        <w:tc>
          <w:tcPr>
            <w:tcW w:w="591"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11"/>
              <w:rPr>
                <w:sz w:val="9"/>
              </w:rPr>
            </w:pPr>
          </w:p>
          <w:p>
            <w:pPr>
              <w:pStyle w:val="TableParagraph"/>
              <w:spacing w:line="698" w:lineRule="auto"/>
              <w:ind w:left="215" w:right="135" w:hanging="75"/>
              <w:rPr>
                <w:sz w:val="15"/>
              </w:rPr>
            </w:pPr>
            <w:r>
              <w:rPr>
                <w:sz w:val="15"/>
              </w:rPr>
              <w:t>不收费</w:t>
            </w:r>
          </w:p>
        </w:tc>
        <w:tc>
          <w:tcPr>
            <w:tcW w:w="253" w:type="dxa"/>
            <w:vMerge w:val="restart"/>
          </w:tcPr>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rPr>
                <w:sz w:val="14"/>
              </w:rPr>
            </w:pPr>
          </w:p>
          <w:p>
            <w:pPr>
              <w:pStyle w:val="TableParagraph"/>
              <w:spacing w:before="4"/>
              <w:rPr>
                <w:sz w:val="14"/>
              </w:rPr>
            </w:pPr>
          </w:p>
          <w:p>
            <w:pPr>
              <w:pStyle w:val="TableParagraph"/>
              <w:ind w:left="104"/>
              <w:rPr>
                <w:sz w:val="15"/>
              </w:rPr>
            </w:pPr>
            <w:r>
              <w:rPr>
                <w:w w:val="100"/>
                <w:sz w:val="15"/>
              </w:rPr>
              <w:t>5</w:t>
            </w:r>
          </w:p>
          <w:p>
            <w:pPr>
              <w:pStyle w:val="TableParagraph"/>
              <w:rPr>
                <w:sz w:val="14"/>
              </w:rPr>
            </w:pPr>
          </w:p>
          <w:p>
            <w:pPr>
              <w:pStyle w:val="TableParagraph"/>
              <w:spacing w:before="8"/>
              <w:rPr>
                <w:sz w:val="14"/>
              </w:rPr>
            </w:pPr>
          </w:p>
          <w:p>
            <w:pPr>
              <w:pStyle w:val="TableParagraph"/>
              <w:spacing w:line="698" w:lineRule="auto"/>
              <w:ind w:left="104" w:right="-15"/>
              <w:jc w:val="both"/>
              <w:rPr>
                <w:sz w:val="15"/>
              </w:rPr>
            </w:pPr>
            <w:r>
              <w:rPr>
                <w:sz w:val="15"/>
              </w:rPr>
              <w:t>个工作日</w:t>
            </w:r>
          </w:p>
        </w:tc>
        <w:tc>
          <w:tcPr>
            <w:tcW w:w="320" w:type="dxa"/>
            <w:vMerge w:val="restart"/>
          </w:tcPr>
          <w:p>
            <w:pPr>
              <w:pStyle w:val="TableParagraph"/>
              <w:rPr>
                <w:sz w:val="14"/>
              </w:rPr>
            </w:pPr>
          </w:p>
          <w:p>
            <w:pPr>
              <w:pStyle w:val="TableParagraph"/>
              <w:spacing w:before="10"/>
              <w:rPr>
                <w:sz w:val="10"/>
              </w:rPr>
            </w:pPr>
          </w:p>
          <w:p>
            <w:pPr>
              <w:pStyle w:val="TableParagraph"/>
              <w:spacing w:line="700" w:lineRule="auto"/>
              <w:ind w:left="103" w:right="53"/>
              <w:jc w:val="both"/>
              <w:rPr>
                <w:sz w:val="15"/>
              </w:rPr>
            </w:pPr>
            <w:r>
              <w:rPr>
                <w:sz w:val="15"/>
              </w:rPr>
              <w:t>商品房预售许可证</w:t>
            </w:r>
          </w:p>
          <w:p>
            <w:pPr>
              <w:pStyle w:val="TableParagraph"/>
              <w:spacing w:line="184" w:lineRule="exact"/>
              <w:ind w:left="103"/>
              <w:rPr>
                <w:sz w:val="15"/>
              </w:rPr>
            </w:pPr>
            <w:r>
              <w:rPr>
                <w:w w:val="100"/>
                <w:sz w:val="15"/>
              </w:rPr>
              <w:t>明</w:t>
            </w:r>
          </w:p>
        </w:tc>
      </w:tr>
      <w:tr>
        <w:trPr>
          <w:trHeight w:val="559"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2.开发企业营业执照、资质证书</w:t>
            </w:r>
          </w:p>
        </w:tc>
        <w:tc>
          <w:tcPr>
            <w:tcW w:w="1578" w:type="dxa"/>
          </w:tcPr>
          <w:p>
            <w:pPr>
              <w:pStyle w:val="TableParagraph"/>
              <w:rPr>
                <w:sz w:val="14"/>
              </w:rPr>
            </w:pPr>
          </w:p>
          <w:p>
            <w:pPr>
              <w:pStyle w:val="TableParagraph"/>
              <w:spacing w:before="119"/>
              <w:ind w:left="53" w:right="47"/>
              <w:jc w:val="center"/>
              <w:rPr>
                <w:sz w:val="15"/>
              </w:rPr>
            </w:pPr>
            <w:r>
              <w:rPr>
                <w:sz w:val="15"/>
              </w:rPr>
              <w:t>纸质复印件 1 份</w:t>
            </w:r>
          </w:p>
        </w:tc>
        <w:tc>
          <w:tcPr>
            <w:tcW w:w="1767" w:type="dxa"/>
          </w:tcPr>
          <w:p>
            <w:pPr>
              <w:pStyle w:val="TableParagraph"/>
              <w:rPr>
                <w:sz w:val="14"/>
              </w:rPr>
            </w:pPr>
          </w:p>
          <w:p>
            <w:pPr>
              <w:pStyle w:val="TableParagraph"/>
              <w:spacing w:before="119"/>
              <w:ind w:left="110" w:right="103"/>
              <w:jc w:val="center"/>
              <w:rPr>
                <w:sz w:val="15"/>
              </w:rPr>
            </w:pPr>
            <w:r>
              <w:rPr>
                <w:sz w:val="15"/>
              </w:rPr>
              <w:t>县行政审批服务局</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561"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3.授权委托书及法人、受委托人身份证明</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申请人</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679"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spacing w:line="560" w:lineRule="exact"/>
              <w:ind w:left="107" w:right="167"/>
              <w:jc w:val="both"/>
              <w:rPr>
                <w:sz w:val="15"/>
              </w:rPr>
            </w:pPr>
            <w:r>
              <w:rPr>
                <w:sz w:val="15"/>
              </w:rPr>
              <w:t>4.土地（不动产权）证（在建工程已经设置抵押的，还应提交抵押权人签署的书面意见）</w:t>
            </w:r>
          </w:p>
        </w:tc>
        <w:tc>
          <w:tcPr>
            <w:tcW w:w="1578" w:type="dxa"/>
          </w:tcPr>
          <w:p>
            <w:pPr>
              <w:pStyle w:val="TableParagraph"/>
              <w:rPr>
                <w:sz w:val="14"/>
              </w:rPr>
            </w:pPr>
          </w:p>
          <w:p>
            <w:pPr>
              <w:pStyle w:val="TableParagraph"/>
              <w:spacing w:before="119"/>
              <w:ind w:left="53" w:right="50"/>
              <w:jc w:val="center"/>
              <w:rPr>
                <w:sz w:val="15"/>
              </w:rPr>
            </w:pPr>
            <w:r>
              <w:rPr>
                <w:sz w:val="15"/>
              </w:rPr>
              <w:t>纸质复印件 1 份（纸</w:t>
            </w:r>
          </w:p>
          <w:p>
            <w:pPr>
              <w:pStyle w:val="TableParagraph"/>
              <w:rPr>
                <w:sz w:val="14"/>
              </w:rPr>
            </w:pPr>
          </w:p>
          <w:p>
            <w:pPr>
              <w:pStyle w:val="TableParagraph"/>
              <w:spacing w:before="8"/>
              <w:rPr>
                <w:sz w:val="14"/>
              </w:rPr>
            </w:pPr>
          </w:p>
          <w:p>
            <w:pPr>
              <w:pStyle w:val="TableParagraph"/>
              <w:ind w:left="51" w:right="50"/>
              <w:jc w:val="center"/>
              <w:rPr>
                <w:sz w:val="15"/>
              </w:rPr>
            </w:pPr>
            <w:r>
              <w:rPr>
                <w:sz w:val="15"/>
              </w:rPr>
              <w:t>质原件 1 份）</w:t>
            </w:r>
          </w:p>
        </w:tc>
        <w:tc>
          <w:tcPr>
            <w:tcW w:w="1767" w:type="dxa"/>
          </w:tcPr>
          <w:p>
            <w:pPr>
              <w:pStyle w:val="TableParagraph"/>
              <w:rPr>
                <w:sz w:val="14"/>
              </w:rPr>
            </w:pPr>
          </w:p>
          <w:p>
            <w:pPr>
              <w:pStyle w:val="TableParagraph"/>
              <w:spacing w:line="698" w:lineRule="auto" w:before="119"/>
              <w:ind w:left="581" w:right="120" w:hanging="449"/>
              <w:rPr>
                <w:sz w:val="15"/>
              </w:rPr>
            </w:pPr>
            <w:r>
              <w:rPr>
                <w:sz w:val="15"/>
              </w:rPr>
              <w:t>县不动产登记中心（抵押权人）</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120"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spacing w:line="560" w:lineRule="exact" w:before="1"/>
              <w:ind w:left="107" w:right="167"/>
              <w:rPr>
                <w:sz w:val="15"/>
              </w:rPr>
            </w:pPr>
            <w:r>
              <w:rPr>
                <w:sz w:val="15"/>
              </w:rPr>
              <w:t>5.建设工程规划许可证、建筑工程施工许可证</w:t>
            </w:r>
          </w:p>
        </w:tc>
        <w:tc>
          <w:tcPr>
            <w:tcW w:w="1578" w:type="dxa"/>
          </w:tcPr>
          <w:p>
            <w:pPr>
              <w:pStyle w:val="TableParagraph"/>
              <w:rPr>
                <w:sz w:val="14"/>
              </w:rPr>
            </w:pPr>
          </w:p>
          <w:p>
            <w:pPr>
              <w:pStyle w:val="TableParagraph"/>
              <w:spacing w:before="119"/>
              <w:ind w:left="53" w:right="47"/>
              <w:jc w:val="center"/>
              <w:rPr>
                <w:sz w:val="15"/>
              </w:rPr>
            </w:pPr>
            <w:r>
              <w:rPr>
                <w:sz w:val="15"/>
              </w:rPr>
              <w:t>纸质复印件 1 份</w:t>
            </w:r>
          </w:p>
        </w:tc>
        <w:tc>
          <w:tcPr>
            <w:tcW w:w="1767" w:type="dxa"/>
          </w:tcPr>
          <w:p>
            <w:pPr>
              <w:pStyle w:val="TableParagraph"/>
              <w:rPr>
                <w:sz w:val="14"/>
              </w:rPr>
            </w:pPr>
          </w:p>
          <w:p>
            <w:pPr>
              <w:pStyle w:val="TableParagraph"/>
              <w:spacing w:before="119"/>
              <w:ind w:left="110" w:right="103"/>
              <w:jc w:val="center"/>
              <w:rPr>
                <w:sz w:val="15"/>
              </w:rPr>
            </w:pPr>
            <w:r>
              <w:rPr>
                <w:sz w:val="15"/>
              </w:rPr>
              <w:t>县行政审批服务局</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bl>
    <w:p>
      <w:pPr>
        <w:spacing w:after="0"/>
        <w:rPr>
          <w:sz w:val="2"/>
          <w:szCs w:val="2"/>
        </w:rPr>
        <w:sectPr>
          <w:type w:val="continuous"/>
          <w:pgSz w:w="16840" w:h="11910" w:orient="landscape"/>
          <w:pgMar w:top="1600" w:bottom="280" w:left="1220" w:right="1340"/>
        </w:sect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8"/>
        <w:gridCol w:w="483"/>
        <w:gridCol w:w="343"/>
        <w:gridCol w:w="353"/>
        <w:gridCol w:w="730"/>
        <w:gridCol w:w="1704"/>
        <w:gridCol w:w="2989"/>
        <w:gridCol w:w="1578"/>
        <w:gridCol w:w="1767"/>
        <w:gridCol w:w="2658"/>
        <w:gridCol w:w="591"/>
        <w:gridCol w:w="253"/>
        <w:gridCol w:w="320"/>
      </w:tblGrid>
      <w:tr>
        <w:trPr>
          <w:trHeight w:val="559" w:hRule="atLeast"/>
        </w:trPr>
        <w:tc>
          <w:tcPr>
            <w:tcW w:w="288" w:type="dxa"/>
            <w:vMerge w:val="restart"/>
          </w:tcPr>
          <w:p>
            <w:pPr>
              <w:pStyle w:val="TableParagraph"/>
              <w:rPr>
                <w:rFonts w:ascii="Times New Roman"/>
                <w:sz w:val="14"/>
              </w:rPr>
            </w:pPr>
          </w:p>
        </w:tc>
        <w:tc>
          <w:tcPr>
            <w:tcW w:w="483" w:type="dxa"/>
            <w:vMerge w:val="restart"/>
          </w:tcPr>
          <w:p>
            <w:pPr>
              <w:pStyle w:val="TableParagraph"/>
              <w:rPr>
                <w:sz w:val="14"/>
              </w:rPr>
            </w:pPr>
          </w:p>
          <w:p>
            <w:pPr>
              <w:pStyle w:val="TableParagraph"/>
              <w:spacing w:line="698" w:lineRule="auto" w:before="119"/>
              <w:ind w:left="165" w:right="154"/>
              <w:rPr>
                <w:sz w:val="15"/>
              </w:rPr>
            </w:pPr>
            <w:r>
              <w:rPr>
                <w:sz w:val="15"/>
              </w:rPr>
              <w:t>核发</w:t>
            </w:r>
          </w:p>
        </w:tc>
        <w:tc>
          <w:tcPr>
            <w:tcW w:w="343" w:type="dxa"/>
            <w:vMerge w:val="restart"/>
          </w:tcPr>
          <w:p>
            <w:pPr>
              <w:pStyle w:val="TableParagraph"/>
              <w:rPr>
                <w:sz w:val="14"/>
              </w:rPr>
            </w:pPr>
          </w:p>
          <w:p>
            <w:pPr>
              <w:pStyle w:val="TableParagraph"/>
              <w:spacing w:line="698" w:lineRule="auto" w:before="119"/>
              <w:ind w:left="107" w:right="72"/>
              <w:rPr>
                <w:sz w:val="15"/>
              </w:rPr>
            </w:pPr>
            <w:r>
              <w:rPr>
                <w:sz w:val="15"/>
              </w:rPr>
              <w:t>核发</w:t>
            </w:r>
          </w:p>
        </w:tc>
        <w:tc>
          <w:tcPr>
            <w:tcW w:w="353" w:type="dxa"/>
            <w:vMerge w:val="restart"/>
          </w:tcPr>
          <w:p>
            <w:pPr>
              <w:pStyle w:val="TableParagraph"/>
              <w:rPr>
                <w:rFonts w:ascii="Times New Roman"/>
                <w:sz w:val="14"/>
              </w:rPr>
            </w:pPr>
          </w:p>
        </w:tc>
        <w:tc>
          <w:tcPr>
            <w:tcW w:w="730" w:type="dxa"/>
            <w:vMerge w:val="restart"/>
          </w:tcPr>
          <w:p>
            <w:pPr>
              <w:pStyle w:val="TableParagraph"/>
              <w:rPr>
                <w:rFonts w:ascii="Times New Roman"/>
                <w:sz w:val="14"/>
              </w:rPr>
            </w:pPr>
          </w:p>
        </w:tc>
        <w:tc>
          <w:tcPr>
            <w:tcW w:w="1704" w:type="dxa"/>
            <w:vMerge w:val="restart"/>
          </w:tcPr>
          <w:p>
            <w:pPr>
              <w:pStyle w:val="TableParagraph"/>
              <w:rPr>
                <w:sz w:val="14"/>
              </w:rPr>
            </w:pPr>
          </w:p>
          <w:p>
            <w:pPr>
              <w:pStyle w:val="TableParagraph"/>
              <w:spacing w:line="698" w:lineRule="auto" w:before="119"/>
              <w:ind w:left="107" w:right="94"/>
              <w:jc w:val="both"/>
              <w:rPr>
                <w:sz w:val="15"/>
              </w:rPr>
            </w:pPr>
            <w:r>
              <w:rPr>
                <w:spacing w:val="-6"/>
                <w:sz w:val="15"/>
              </w:rPr>
              <w:t>次会议《关于修改部分法律的决定》第二次修</w:t>
            </w:r>
            <w:r>
              <w:rPr>
                <w:sz w:val="15"/>
              </w:rPr>
              <w:t>正）</w:t>
            </w:r>
            <w:r>
              <w:rPr>
                <w:spacing w:val="-3"/>
                <w:sz w:val="15"/>
              </w:rPr>
              <w:t>第四十五条；</w:t>
            </w:r>
          </w:p>
          <w:p>
            <w:pPr>
              <w:pStyle w:val="TableParagraph"/>
              <w:spacing w:line="698" w:lineRule="auto" w:before="3"/>
              <w:ind w:left="107" w:right="94"/>
              <w:jc w:val="both"/>
              <w:rPr>
                <w:sz w:val="15"/>
              </w:rPr>
            </w:pPr>
            <w:r>
              <w:rPr>
                <w:spacing w:val="-7"/>
                <w:sz w:val="15"/>
              </w:rPr>
              <w:t>2</w:t>
            </w:r>
            <w:r>
              <w:rPr>
                <w:spacing w:val="-5"/>
                <w:sz w:val="15"/>
              </w:rPr>
              <w:t>.《城市商品房预售管</w:t>
            </w:r>
            <w:r>
              <w:rPr>
                <w:spacing w:val="-14"/>
                <w:sz w:val="15"/>
              </w:rPr>
              <w:t>理办法》</w:t>
            </w:r>
            <w:r>
              <w:rPr>
                <w:spacing w:val="4"/>
                <w:sz w:val="15"/>
              </w:rPr>
              <w:t>（</w:t>
            </w:r>
            <w:r>
              <w:rPr>
                <w:sz w:val="15"/>
              </w:rPr>
              <w:t>建设部令第131</w:t>
            </w:r>
            <w:r>
              <w:rPr>
                <w:spacing w:val="-4"/>
                <w:sz w:val="15"/>
              </w:rPr>
              <w:t> 号</w:t>
            </w:r>
            <w:r>
              <w:rPr>
                <w:sz w:val="15"/>
              </w:rPr>
              <w:t>）</w:t>
            </w:r>
            <w:r>
              <w:rPr>
                <w:spacing w:val="-5"/>
                <w:sz w:val="15"/>
              </w:rPr>
              <w:t>第四条、第五</w:t>
            </w:r>
            <w:r>
              <w:rPr>
                <w:spacing w:val="-2"/>
                <w:sz w:val="15"/>
              </w:rPr>
              <w:t>条、第六条。</w:t>
            </w:r>
          </w:p>
        </w:tc>
        <w:tc>
          <w:tcPr>
            <w:tcW w:w="2989" w:type="dxa"/>
          </w:tcPr>
          <w:p>
            <w:pPr>
              <w:pStyle w:val="TableParagraph"/>
              <w:rPr>
                <w:sz w:val="14"/>
              </w:rPr>
            </w:pPr>
          </w:p>
          <w:p>
            <w:pPr>
              <w:pStyle w:val="TableParagraph"/>
              <w:spacing w:before="119"/>
              <w:ind w:left="107"/>
              <w:rPr>
                <w:sz w:val="15"/>
              </w:rPr>
            </w:pPr>
            <w:r>
              <w:rPr>
                <w:sz w:val="15"/>
              </w:rPr>
              <w:t>6.开发经营许可证</w:t>
            </w:r>
          </w:p>
        </w:tc>
        <w:tc>
          <w:tcPr>
            <w:tcW w:w="1578" w:type="dxa"/>
          </w:tcPr>
          <w:p>
            <w:pPr>
              <w:pStyle w:val="TableParagraph"/>
              <w:rPr>
                <w:sz w:val="14"/>
              </w:rPr>
            </w:pPr>
          </w:p>
          <w:p>
            <w:pPr>
              <w:pStyle w:val="TableParagraph"/>
              <w:spacing w:before="119"/>
              <w:ind w:left="53" w:right="47"/>
              <w:jc w:val="center"/>
              <w:rPr>
                <w:sz w:val="15"/>
              </w:rPr>
            </w:pPr>
            <w:r>
              <w:rPr>
                <w:sz w:val="15"/>
              </w:rPr>
              <w:t>纸质复印件 1 份</w:t>
            </w:r>
          </w:p>
        </w:tc>
        <w:tc>
          <w:tcPr>
            <w:tcW w:w="1767" w:type="dxa"/>
          </w:tcPr>
          <w:p>
            <w:pPr>
              <w:pStyle w:val="TableParagraph"/>
              <w:rPr>
                <w:sz w:val="14"/>
              </w:rPr>
            </w:pPr>
          </w:p>
          <w:p>
            <w:pPr>
              <w:pStyle w:val="TableParagraph"/>
              <w:spacing w:before="119"/>
              <w:ind w:left="110" w:right="103"/>
              <w:jc w:val="center"/>
              <w:rPr>
                <w:sz w:val="15"/>
              </w:rPr>
            </w:pPr>
            <w:r>
              <w:rPr>
                <w:sz w:val="15"/>
              </w:rPr>
              <w:t>县住建局</w:t>
            </w:r>
          </w:p>
        </w:tc>
        <w:tc>
          <w:tcPr>
            <w:tcW w:w="2658" w:type="dxa"/>
            <w:vMerge w:val="restart"/>
          </w:tcPr>
          <w:p>
            <w:pPr>
              <w:pStyle w:val="TableParagraph"/>
              <w:rPr>
                <w:sz w:val="14"/>
              </w:rPr>
            </w:pPr>
          </w:p>
          <w:p>
            <w:pPr>
              <w:pStyle w:val="TableParagraph"/>
              <w:spacing w:line="698" w:lineRule="auto" w:before="119"/>
              <w:ind w:left="105" w:right="1938"/>
              <w:rPr>
                <w:sz w:val="15"/>
              </w:rPr>
            </w:pPr>
            <w:r>
              <w:rPr>
                <w:sz w:val="15"/>
              </w:rPr>
              <w:t>察意见。3.审查</w:t>
            </w:r>
          </w:p>
          <w:p>
            <w:pPr>
              <w:pStyle w:val="TableParagraph"/>
              <w:spacing w:line="700" w:lineRule="auto"/>
              <w:ind w:left="105" w:right="23"/>
              <w:rPr>
                <w:sz w:val="15"/>
              </w:rPr>
            </w:pPr>
            <w:r>
              <w:rPr>
                <w:spacing w:val="-8"/>
                <w:sz w:val="15"/>
              </w:rPr>
              <w:t>对申请资料、现场踏勘意见进行审核， </w:t>
            </w:r>
            <w:r>
              <w:rPr>
                <w:spacing w:val="-3"/>
                <w:sz w:val="15"/>
              </w:rPr>
              <w:t>并出具审查意见。</w:t>
            </w:r>
          </w:p>
          <w:p>
            <w:pPr>
              <w:pStyle w:val="TableParagraph"/>
              <w:numPr>
                <w:ilvl w:val="0"/>
                <w:numId w:val="10"/>
              </w:numPr>
              <w:tabs>
                <w:tab w:pos="259" w:val="left" w:leader="none"/>
              </w:tabs>
              <w:spacing w:line="191" w:lineRule="exact" w:before="0" w:after="0"/>
              <w:ind w:left="258" w:right="0" w:hanging="154"/>
              <w:jc w:val="left"/>
              <w:rPr>
                <w:sz w:val="15"/>
              </w:rPr>
            </w:pPr>
            <w:r>
              <w:rPr>
                <w:sz w:val="15"/>
              </w:rPr>
              <w:t>决定</w:t>
            </w:r>
          </w:p>
          <w:p>
            <w:pPr>
              <w:pStyle w:val="TableParagraph"/>
              <w:rPr>
                <w:sz w:val="14"/>
              </w:rPr>
            </w:pPr>
          </w:p>
          <w:p>
            <w:pPr>
              <w:pStyle w:val="TableParagraph"/>
              <w:spacing w:before="9"/>
              <w:rPr>
                <w:sz w:val="14"/>
              </w:rPr>
            </w:pPr>
          </w:p>
          <w:p>
            <w:pPr>
              <w:pStyle w:val="TableParagraph"/>
              <w:spacing w:line="700" w:lineRule="auto"/>
              <w:ind w:left="105" w:right="138"/>
              <w:jc w:val="both"/>
              <w:rPr>
                <w:sz w:val="15"/>
              </w:rPr>
            </w:pPr>
            <w:r>
              <w:rPr>
                <w:sz w:val="15"/>
              </w:rPr>
              <w:t>根据审查情况，准予决定的，制作结果文书，不准予决定的，制作《不予许可决定书》。</w:t>
            </w:r>
          </w:p>
          <w:p>
            <w:pPr>
              <w:pStyle w:val="TableParagraph"/>
              <w:numPr>
                <w:ilvl w:val="0"/>
                <w:numId w:val="10"/>
              </w:numPr>
              <w:tabs>
                <w:tab w:pos="259" w:val="left" w:leader="none"/>
              </w:tabs>
              <w:spacing w:line="189" w:lineRule="exact" w:before="0" w:after="0"/>
              <w:ind w:left="258" w:right="0" w:hanging="154"/>
              <w:jc w:val="left"/>
              <w:rPr>
                <w:sz w:val="15"/>
              </w:rPr>
            </w:pPr>
            <w:r>
              <w:rPr>
                <w:sz w:val="15"/>
              </w:rPr>
              <w:t>送达</w:t>
            </w:r>
          </w:p>
          <w:p>
            <w:pPr>
              <w:pStyle w:val="TableParagraph"/>
              <w:spacing w:line="560" w:lineRule="atLeast" w:before="2"/>
              <w:ind w:left="105" w:right="138"/>
              <w:rPr>
                <w:sz w:val="15"/>
              </w:rPr>
            </w:pPr>
            <w:r>
              <w:rPr>
                <w:sz w:val="15"/>
              </w:rPr>
              <w:t>即时向申请人颁发、送达审批服务事项结果文书。</w:t>
            </w:r>
          </w:p>
        </w:tc>
        <w:tc>
          <w:tcPr>
            <w:tcW w:w="591" w:type="dxa"/>
            <w:vMerge w:val="restart"/>
          </w:tcPr>
          <w:p>
            <w:pPr>
              <w:pStyle w:val="TableParagraph"/>
              <w:rPr>
                <w:rFonts w:ascii="Times New Roman"/>
                <w:sz w:val="14"/>
              </w:rPr>
            </w:pPr>
          </w:p>
        </w:tc>
        <w:tc>
          <w:tcPr>
            <w:tcW w:w="253" w:type="dxa"/>
            <w:vMerge w:val="restart"/>
          </w:tcPr>
          <w:p>
            <w:pPr>
              <w:pStyle w:val="TableParagraph"/>
              <w:rPr>
                <w:rFonts w:ascii="Times New Roman"/>
                <w:sz w:val="14"/>
              </w:rPr>
            </w:pPr>
          </w:p>
        </w:tc>
        <w:tc>
          <w:tcPr>
            <w:tcW w:w="320" w:type="dxa"/>
            <w:vMerge w:val="restart"/>
          </w:tcPr>
          <w:p>
            <w:pPr>
              <w:pStyle w:val="TableParagraph"/>
              <w:rPr>
                <w:sz w:val="14"/>
              </w:rPr>
            </w:pPr>
          </w:p>
          <w:p>
            <w:pPr>
              <w:pStyle w:val="TableParagraph"/>
              <w:spacing w:line="698" w:lineRule="auto" w:before="119"/>
              <w:ind w:left="103" w:right="53"/>
              <w:jc w:val="both"/>
              <w:rPr>
                <w:sz w:val="15"/>
              </w:rPr>
            </w:pPr>
            <w:r>
              <w:rPr>
                <w:sz w:val="15"/>
              </w:rPr>
              <w:t>核发申请表</w:t>
            </w:r>
          </w:p>
        </w:tc>
      </w:tr>
      <w:tr>
        <w:trPr>
          <w:trHeight w:val="561"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7.资金投入达到 25%以上的证明</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监理企业</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558"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8.基础工程验收证明</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申请人</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121"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9.业主临时公约、已签订的前期物业服务</w:t>
            </w:r>
          </w:p>
          <w:p>
            <w:pPr>
              <w:pStyle w:val="TableParagraph"/>
              <w:rPr>
                <w:sz w:val="14"/>
              </w:rPr>
            </w:pPr>
          </w:p>
          <w:p>
            <w:pPr>
              <w:pStyle w:val="TableParagraph"/>
              <w:spacing w:before="11"/>
              <w:rPr>
                <w:sz w:val="14"/>
              </w:rPr>
            </w:pPr>
          </w:p>
          <w:p>
            <w:pPr>
              <w:pStyle w:val="TableParagraph"/>
              <w:ind w:left="107"/>
              <w:rPr>
                <w:sz w:val="15"/>
              </w:rPr>
            </w:pPr>
            <w:r>
              <w:rPr>
                <w:sz w:val="15"/>
              </w:rPr>
              <w:t>合同</w:t>
            </w:r>
          </w:p>
        </w:tc>
        <w:tc>
          <w:tcPr>
            <w:tcW w:w="1578" w:type="dxa"/>
          </w:tcPr>
          <w:p>
            <w:pPr>
              <w:pStyle w:val="TableParagraph"/>
              <w:rPr>
                <w:sz w:val="14"/>
              </w:rPr>
            </w:pPr>
          </w:p>
          <w:p>
            <w:pPr>
              <w:pStyle w:val="TableParagraph"/>
              <w:spacing w:before="119"/>
              <w:ind w:left="53" w:right="47"/>
              <w:jc w:val="center"/>
              <w:rPr>
                <w:sz w:val="15"/>
              </w:rPr>
            </w:pPr>
            <w:r>
              <w:rPr>
                <w:sz w:val="15"/>
              </w:rPr>
              <w:t>纸质复印件 1 份</w:t>
            </w:r>
          </w:p>
        </w:tc>
        <w:tc>
          <w:tcPr>
            <w:tcW w:w="1767" w:type="dxa"/>
          </w:tcPr>
          <w:p>
            <w:pPr>
              <w:pStyle w:val="TableParagraph"/>
              <w:rPr>
                <w:sz w:val="14"/>
              </w:rPr>
            </w:pPr>
          </w:p>
          <w:p>
            <w:pPr>
              <w:pStyle w:val="TableParagraph"/>
              <w:spacing w:before="119"/>
              <w:ind w:left="113" w:right="103"/>
              <w:jc w:val="center"/>
              <w:rPr>
                <w:sz w:val="15"/>
              </w:rPr>
            </w:pPr>
            <w:r>
              <w:rPr>
                <w:sz w:val="15"/>
              </w:rPr>
              <w:t>物业公司（物管部门备</w:t>
            </w:r>
          </w:p>
          <w:p>
            <w:pPr>
              <w:pStyle w:val="TableParagraph"/>
              <w:rPr>
                <w:sz w:val="14"/>
              </w:rPr>
            </w:pPr>
          </w:p>
          <w:p>
            <w:pPr>
              <w:pStyle w:val="TableParagraph"/>
              <w:spacing w:before="11"/>
              <w:rPr>
                <w:sz w:val="14"/>
              </w:rPr>
            </w:pPr>
          </w:p>
          <w:p>
            <w:pPr>
              <w:pStyle w:val="TableParagraph"/>
              <w:ind w:left="113" w:right="103"/>
              <w:jc w:val="center"/>
              <w:rPr>
                <w:sz w:val="15"/>
              </w:rPr>
            </w:pPr>
            <w:r>
              <w:rPr>
                <w:sz w:val="15"/>
              </w:rPr>
              <w:t>案）</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558"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10.商品房预售方案</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申请人</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561"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21"/>
              <w:ind w:left="107"/>
              <w:rPr>
                <w:sz w:val="15"/>
              </w:rPr>
            </w:pPr>
            <w:r>
              <w:rPr>
                <w:sz w:val="15"/>
              </w:rPr>
              <w:t>11.房产测绘部门出具的测绘成果报告书</w:t>
            </w:r>
          </w:p>
        </w:tc>
        <w:tc>
          <w:tcPr>
            <w:tcW w:w="1578" w:type="dxa"/>
          </w:tcPr>
          <w:p>
            <w:pPr>
              <w:pStyle w:val="TableParagraph"/>
              <w:rPr>
                <w:sz w:val="14"/>
              </w:rPr>
            </w:pPr>
          </w:p>
          <w:p>
            <w:pPr>
              <w:pStyle w:val="TableParagraph"/>
              <w:spacing w:before="121"/>
              <w:ind w:left="53" w:right="47"/>
              <w:jc w:val="center"/>
              <w:rPr>
                <w:sz w:val="15"/>
              </w:rPr>
            </w:pPr>
            <w:r>
              <w:rPr>
                <w:sz w:val="15"/>
              </w:rPr>
              <w:t>纸质复印件 1 份</w:t>
            </w:r>
          </w:p>
        </w:tc>
        <w:tc>
          <w:tcPr>
            <w:tcW w:w="1767" w:type="dxa"/>
          </w:tcPr>
          <w:p>
            <w:pPr>
              <w:pStyle w:val="TableParagraph"/>
              <w:rPr>
                <w:sz w:val="14"/>
              </w:rPr>
            </w:pPr>
          </w:p>
          <w:p>
            <w:pPr>
              <w:pStyle w:val="TableParagraph"/>
              <w:spacing w:before="121"/>
              <w:ind w:left="113" w:right="103"/>
              <w:jc w:val="center"/>
              <w:rPr>
                <w:sz w:val="15"/>
              </w:rPr>
            </w:pPr>
            <w:r>
              <w:rPr>
                <w:sz w:val="15"/>
              </w:rPr>
              <w:t>房产测绘机构</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120"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spacing w:line="560" w:lineRule="exact"/>
              <w:ind w:left="107" w:right="241"/>
              <w:rPr>
                <w:sz w:val="15"/>
              </w:rPr>
            </w:pPr>
            <w:r>
              <w:rPr>
                <w:sz w:val="15"/>
              </w:rPr>
              <w:t>12.郯城县商品房预售资金监管协议或非监管业务证</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县住建局</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r>
        <w:trPr>
          <w:trHeight w:val="1051" w:hRule="atLeast"/>
        </w:trPr>
        <w:tc>
          <w:tcPr>
            <w:tcW w:w="288" w:type="dxa"/>
            <w:vMerge/>
            <w:tcBorders>
              <w:top w:val="nil"/>
            </w:tcBorders>
          </w:tcPr>
          <w:p>
            <w:pPr>
              <w:rPr>
                <w:sz w:val="2"/>
                <w:szCs w:val="2"/>
              </w:rPr>
            </w:pPr>
          </w:p>
        </w:tc>
        <w:tc>
          <w:tcPr>
            <w:tcW w:w="483" w:type="dxa"/>
            <w:vMerge/>
            <w:tcBorders>
              <w:top w:val="nil"/>
            </w:tcBorders>
          </w:tcPr>
          <w:p>
            <w:pPr>
              <w:rPr>
                <w:sz w:val="2"/>
                <w:szCs w:val="2"/>
              </w:rPr>
            </w:pPr>
          </w:p>
        </w:tc>
        <w:tc>
          <w:tcPr>
            <w:tcW w:w="343" w:type="dxa"/>
            <w:vMerge/>
            <w:tcBorders>
              <w:top w:val="nil"/>
            </w:tcBorders>
          </w:tcPr>
          <w:p>
            <w:pPr>
              <w:rPr>
                <w:sz w:val="2"/>
                <w:szCs w:val="2"/>
              </w:rPr>
            </w:pPr>
          </w:p>
        </w:tc>
        <w:tc>
          <w:tcPr>
            <w:tcW w:w="353" w:type="dxa"/>
            <w:vMerge/>
            <w:tcBorders>
              <w:top w:val="nil"/>
            </w:tcBorders>
          </w:tcPr>
          <w:p>
            <w:pPr>
              <w:rPr>
                <w:sz w:val="2"/>
                <w:szCs w:val="2"/>
              </w:rPr>
            </w:pPr>
          </w:p>
        </w:tc>
        <w:tc>
          <w:tcPr>
            <w:tcW w:w="730" w:type="dxa"/>
            <w:vMerge/>
            <w:tcBorders>
              <w:top w:val="nil"/>
            </w:tcBorders>
          </w:tcPr>
          <w:p>
            <w:pPr>
              <w:rPr>
                <w:sz w:val="2"/>
                <w:szCs w:val="2"/>
              </w:rPr>
            </w:pPr>
          </w:p>
        </w:tc>
        <w:tc>
          <w:tcPr>
            <w:tcW w:w="1704" w:type="dxa"/>
            <w:vMerge/>
            <w:tcBorders>
              <w:top w:val="nil"/>
            </w:tcBorders>
          </w:tcPr>
          <w:p>
            <w:pPr>
              <w:rPr>
                <w:sz w:val="2"/>
                <w:szCs w:val="2"/>
              </w:rPr>
            </w:pPr>
          </w:p>
        </w:tc>
        <w:tc>
          <w:tcPr>
            <w:tcW w:w="2989" w:type="dxa"/>
          </w:tcPr>
          <w:p>
            <w:pPr>
              <w:pStyle w:val="TableParagraph"/>
              <w:rPr>
                <w:sz w:val="14"/>
              </w:rPr>
            </w:pPr>
          </w:p>
          <w:p>
            <w:pPr>
              <w:pStyle w:val="TableParagraph"/>
              <w:spacing w:before="119"/>
              <w:ind w:left="107"/>
              <w:rPr>
                <w:sz w:val="15"/>
              </w:rPr>
            </w:pPr>
            <w:r>
              <w:rPr>
                <w:sz w:val="15"/>
              </w:rPr>
              <w:t>13.不动产出具的土地抵押、查封情况证明</w:t>
            </w:r>
          </w:p>
        </w:tc>
        <w:tc>
          <w:tcPr>
            <w:tcW w:w="1578" w:type="dxa"/>
          </w:tcPr>
          <w:p>
            <w:pPr>
              <w:pStyle w:val="TableParagraph"/>
              <w:rPr>
                <w:sz w:val="14"/>
              </w:rPr>
            </w:pPr>
          </w:p>
          <w:p>
            <w:pPr>
              <w:pStyle w:val="TableParagraph"/>
              <w:spacing w:before="119"/>
              <w:ind w:left="53" w:right="49"/>
              <w:jc w:val="center"/>
              <w:rPr>
                <w:sz w:val="15"/>
              </w:rPr>
            </w:pPr>
            <w:r>
              <w:rPr>
                <w:sz w:val="15"/>
              </w:rPr>
              <w:t>纸质原件 1 份</w:t>
            </w:r>
          </w:p>
        </w:tc>
        <w:tc>
          <w:tcPr>
            <w:tcW w:w="1767" w:type="dxa"/>
          </w:tcPr>
          <w:p>
            <w:pPr>
              <w:pStyle w:val="TableParagraph"/>
              <w:rPr>
                <w:sz w:val="14"/>
              </w:rPr>
            </w:pPr>
          </w:p>
          <w:p>
            <w:pPr>
              <w:pStyle w:val="TableParagraph"/>
              <w:spacing w:before="119"/>
              <w:ind w:left="110" w:right="103"/>
              <w:jc w:val="center"/>
              <w:rPr>
                <w:sz w:val="15"/>
              </w:rPr>
            </w:pPr>
            <w:r>
              <w:rPr>
                <w:sz w:val="15"/>
              </w:rPr>
              <w:t>不动产登记中心</w:t>
            </w:r>
          </w:p>
        </w:tc>
        <w:tc>
          <w:tcPr>
            <w:tcW w:w="2658" w:type="dxa"/>
            <w:vMerge/>
            <w:tcBorders>
              <w:top w:val="nil"/>
            </w:tcBorders>
          </w:tcPr>
          <w:p>
            <w:pPr>
              <w:rPr>
                <w:sz w:val="2"/>
                <w:szCs w:val="2"/>
              </w:rPr>
            </w:pPr>
          </w:p>
        </w:tc>
        <w:tc>
          <w:tcPr>
            <w:tcW w:w="591" w:type="dxa"/>
            <w:vMerge/>
            <w:tcBorders>
              <w:top w:val="nil"/>
            </w:tcBorders>
          </w:tcPr>
          <w:p>
            <w:pPr>
              <w:rPr>
                <w:sz w:val="2"/>
                <w:szCs w:val="2"/>
              </w:rPr>
            </w:pPr>
          </w:p>
        </w:tc>
        <w:tc>
          <w:tcPr>
            <w:tcW w:w="253" w:type="dxa"/>
            <w:vMerge/>
            <w:tcBorders>
              <w:top w:val="nil"/>
            </w:tcBorders>
          </w:tcPr>
          <w:p>
            <w:pPr>
              <w:rPr>
                <w:sz w:val="2"/>
                <w:szCs w:val="2"/>
              </w:rPr>
            </w:pPr>
          </w:p>
        </w:tc>
        <w:tc>
          <w:tcPr>
            <w:tcW w:w="320" w:type="dxa"/>
            <w:vMerge/>
            <w:tcBorders>
              <w:top w:val="nil"/>
            </w:tcBorders>
          </w:tcPr>
          <w:p>
            <w:pPr>
              <w:rPr>
                <w:sz w:val="2"/>
                <w:szCs w:val="2"/>
              </w:rPr>
            </w:pPr>
          </w:p>
        </w:tc>
      </w:tr>
    </w:tbl>
    <w:p>
      <w:pPr>
        <w:pStyle w:val="BodyText"/>
        <w:spacing w:before="6"/>
        <w:rPr>
          <w:rFonts w:ascii="宋体"/>
          <w:sz w:val="17"/>
        </w:rPr>
      </w:pPr>
    </w:p>
    <w:p>
      <w:pPr>
        <w:spacing w:before="80"/>
        <w:ind w:left="220" w:right="0" w:firstLine="0"/>
        <w:jc w:val="left"/>
        <w:rPr>
          <w:rFonts w:ascii="宋体" w:eastAsia="宋体" w:hint="eastAsia"/>
          <w:sz w:val="15"/>
        </w:rPr>
      </w:pPr>
      <w:r>
        <w:rPr>
          <w:rFonts w:ascii="宋体" w:eastAsia="宋体" w:hint="eastAsia"/>
          <w:sz w:val="15"/>
        </w:rPr>
        <w:t>说明：</w:t>
      </w:r>
    </w:p>
    <w:p>
      <w:pPr>
        <w:pStyle w:val="ListParagraph"/>
        <w:numPr>
          <w:ilvl w:val="0"/>
          <w:numId w:val="11"/>
        </w:numPr>
        <w:tabs>
          <w:tab w:pos="446" w:val="left" w:leader="none"/>
        </w:tabs>
        <w:spacing w:line="186" w:lineRule="exact" w:before="62" w:after="0"/>
        <w:ind w:left="445" w:right="0" w:hanging="226"/>
        <w:jc w:val="left"/>
        <w:rPr>
          <w:rFonts w:ascii="宋体" w:eastAsia="宋体" w:hint="eastAsia"/>
          <w:sz w:val="15"/>
        </w:rPr>
      </w:pPr>
      <w:r>
        <w:rPr>
          <w:rFonts w:ascii="宋体" w:eastAsia="宋体" w:hint="eastAsia"/>
          <w:spacing w:val="-3"/>
          <w:sz w:val="15"/>
        </w:rPr>
        <w:t>事项名称：事项的具体主项名称，事项名称应与事项实际内容一致并遵循语法规范。</w:t>
      </w:r>
    </w:p>
    <w:p>
      <w:pPr>
        <w:pStyle w:val="ListParagraph"/>
        <w:numPr>
          <w:ilvl w:val="0"/>
          <w:numId w:val="11"/>
        </w:numPr>
        <w:tabs>
          <w:tab w:pos="446" w:val="left" w:leader="none"/>
        </w:tabs>
        <w:spacing w:line="180" w:lineRule="exact" w:before="0" w:after="0"/>
        <w:ind w:left="445" w:right="0" w:hanging="226"/>
        <w:jc w:val="left"/>
        <w:rPr>
          <w:rFonts w:ascii="宋体" w:eastAsia="宋体" w:hint="eastAsia"/>
          <w:sz w:val="15"/>
        </w:rPr>
      </w:pPr>
      <w:r>
        <w:rPr>
          <w:rFonts w:ascii="宋体" w:eastAsia="宋体" w:hint="eastAsia"/>
          <w:spacing w:val="-3"/>
          <w:sz w:val="15"/>
        </w:rPr>
        <w:t>子项名称：事项的具体子项名称。</w:t>
      </w:r>
    </w:p>
    <w:p>
      <w:pPr>
        <w:pStyle w:val="ListParagraph"/>
        <w:numPr>
          <w:ilvl w:val="0"/>
          <w:numId w:val="11"/>
        </w:numPr>
        <w:tabs>
          <w:tab w:pos="446" w:val="left" w:leader="none"/>
        </w:tabs>
        <w:spacing w:line="180" w:lineRule="exact" w:before="0" w:after="0"/>
        <w:ind w:left="445" w:right="0" w:hanging="226"/>
        <w:jc w:val="left"/>
        <w:rPr>
          <w:rFonts w:ascii="宋体" w:eastAsia="宋体" w:hint="eastAsia"/>
          <w:sz w:val="15"/>
        </w:rPr>
      </w:pPr>
      <w:r>
        <w:rPr>
          <w:rFonts w:ascii="宋体" w:eastAsia="宋体" w:hint="eastAsia"/>
          <w:spacing w:val="-3"/>
          <w:sz w:val="15"/>
        </w:rPr>
        <w:t>事项类别：依申请行政权力事项，即行政许可、行政确认、行政裁决、行政给付等、其他行政权力。</w:t>
      </w:r>
    </w:p>
    <w:p>
      <w:pPr>
        <w:pStyle w:val="ListParagraph"/>
        <w:numPr>
          <w:ilvl w:val="0"/>
          <w:numId w:val="11"/>
        </w:numPr>
        <w:tabs>
          <w:tab w:pos="446" w:val="left" w:leader="none"/>
        </w:tabs>
        <w:spacing w:line="180" w:lineRule="exact" w:before="0" w:after="0"/>
        <w:ind w:left="445" w:right="0" w:hanging="226"/>
        <w:jc w:val="left"/>
        <w:rPr>
          <w:rFonts w:ascii="宋体" w:eastAsia="宋体" w:hint="eastAsia"/>
          <w:sz w:val="15"/>
        </w:rPr>
      </w:pPr>
      <w:r>
        <w:rPr>
          <w:rFonts w:ascii="宋体" w:eastAsia="宋体" w:hint="eastAsia"/>
          <w:spacing w:val="-3"/>
          <w:sz w:val="15"/>
        </w:rPr>
        <w:t>事项编码：事项编码应当与各级人民政府公布清单目录的事项编码一致。</w:t>
      </w:r>
    </w:p>
    <w:p>
      <w:pPr>
        <w:pStyle w:val="ListParagraph"/>
        <w:numPr>
          <w:ilvl w:val="0"/>
          <w:numId w:val="11"/>
        </w:numPr>
        <w:tabs>
          <w:tab w:pos="446" w:val="left" w:leader="none"/>
        </w:tabs>
        <w:spacing w:line="180" w:lineRule="exact" w:before="0" w:after="0"/>
        <w:ind w:left="445" w:right="0" w:hanging="226"/>
        <w:jc w:val="left"/>
        <w:rPr>
          <w:rFonts w:ascii="宋体" w:eastAsia="宋体" w:hint="eastAsia"/>
          <w:sz w:val="15"/>
        </w:rPr>
      </w:pPr>
      <w:r>
        <w:rPr>
          <w:rFonts w:ascii="宋体" w:eastAsia="宋体" w:hint="eastAsia"/>
          <w:spacing w:val="-3"/>
          <w:sz w:val="15"/>
        </w:rPr>
        <w:t>设立依据：事项设立的法律、法规、规章和相关政策等规定，注明详细出处。</w:t>
      </w:r>
    </w:p>
    <w:p>
      <w:pPr>
        <w:pStyle w:val="ListParagraph"/>
        <w:numPr>
          <w:ilvl w:val="0"/>
          <w:numId w:val="11"/>
        </w:numPr>
        <w:tabs>
          <w:tab w:pos="446" w:val="left" w:leader="none"/>
        </w:tabs>
        <w:spacing w:line="225" w:lineRule="auto" w:before="4" w:after="0"/>
        <w:ind w:left="220" w:right="4528" w:firstLine="0"/>
        <w:jc w:val="left"/>
        <w:rPr>
          <w:rFonts w:ascii="宋体" w:hAnsi="宋体" w:eastAsia="宋体" w:hint="eastAsia"/>
          <w:sz w:val="15"/>
        </w:rPr>
      </w:pPr>
      <w:r>
        <w:rPr>
          <w:rFonts w:ascii="宋体" w:hAnsi="宋体" w:eastAsia="宋体" w:hint="eastAsia"/>
          <w:spacing w:val="-3"/>
          <w:sz w:val="15"/>
        </w:rPr>
        <w:t>申请材料：依法依规列出办理“一次办好”事项各环节所需的全部材料目录，包括材料名称、性质</w:t>
      </w:r>
      <w:r>
        <w:rPr>
          <w:rFonts w:ascii="宋体" w:hAnsi="宋体" w:eastAsia="宋体" w:hint="eastAsia"/>
          <w:sz w:val="15"/>
        </w:rPr>
        <w:t>（</w:t>
      </w:r>
      <w:r>
        <w:rPr>
          <w:rFonts w:ascii="宋体" w:hAnsi="宋体" w:eastAsia="宋体" w:hint="eastAsia"/>
          <w:spacing w:val="-3"/>
          <w:sz w:val="15"/>
        </w:rPr>
        <w:t>原件或复印件，复印件是否需要加盖公章</w:t>
      </w:r>
      <w:r>
        <w:rPr>
          <w:rFonts w:ascii="宋体" w:hAnsi="宋体" w:eastAsia="宋体" w:hint="eastAsia"/>
          <w:spacing w:val="-3"/>
          <w:w w:val="100"/>
          <w:sz w:val="15"/>
        </w:rPr>
        <w:t>或核验原件等</w:t>
      </w:r>
      <w:r>
        <w:rPr>
          <w:rFonts w:ascii="宋体" w:hAnsi="宋体" w:eastAsia="宋体" w:hint="eastAsia"/>
          <w:spacing w:val="-75"/>
          <w:w w:val="100"/>
          <w:sz w:val="15"/>
        </w:rPr>
        <w:t>）</w:t>
      </w:r>
      <w:r>
        <w:rPr>
          <w:rFonts w:ascii="宋体" w:hAnsi="宋体" w:eastAsia="宋体" w:hint="eastAsia"/>
          <w:spacing w:val="-3"/>
          <w:w w:val="100"/>
          <w:sz w:val="15"/>
        </w:rPr>
        <w:t>、数量、介质（纸质或电子材料</w:t>
      </w:r>
      <w:r>
        <w:rPr>
          <w:rFonts w:ascii="宋体" w:hAnsi="宋体" w:eastAsia="宋体" w:hint="eastAsia"/>
          <w:spacing w:val="-77"/>
          <w:w w:val="100"/>
          <w:sz w:val="15"/>
        </w:rPr>
        <w:t>）</w:t>
      </w:r>
      <w:r>
        <w:rPr>
          <w:rFonts w:ascii="宋体" w:hAnsi="宋体" w:eastAsia="宋体" w:hint="eastAsia"/>
          <w:spacing w:val="-5"/>
          <w:w w:val="100"/>
          <w:sz w:val="15"/>
        </w:rPr>
        <w:t>，对材料的特殊格式要求等。申请材料不应有兜底条款，如“法律规定的其他材料”。</w:t>
      </w:r>
    </w:p>
    <w:p>
      <w:pPr>
        <w:pStyle w:val="ListParagraph"/>
        <w:numPr>
          <w:ilvl w:val="0"/>
          <w:numId w:val="11"/>
        </w:numPr>
        <w:tabs>
          <w:tab w:pos="446" w:val="left" w:leader="none"/>
        </w:tabs>
        <w:spacing w:line="176" w:lineRule="exact" w:before="0" w:after="0"/>
        <w:ind w:left="445" w:right="0" w:hanging="226"/>
        <w:jc w:val="left"/>
        <w:rPr>
          <w:rFonts w:ascii="宋体" w:eastAsia="宋体" w:hint="eastAsia"/>
          <w:sz w:val="15"/>
        </w:rPr>
      </w:pPr>
      <w:r>
        <w:rPr>
          <w:rFonts w:ascii="宋体" w:eastAsia="宋体" w:hint="eastAsia"/>
          <w:spacing w:val="-3"/>
          <w:w w:val="100"/>
          <w:sz w:val="15"/>
        </w:rPr>
        <w:t>办理流程：列出所涉及的法定程序和环节以及时限（如申请、受理、审查、决定、制证发证等</w:t>
      </w:r>
      <w:r>
        <w:rPr>
          <w:rFonts w:ascii="宋体" w:eastAsia="宋体" w:hint="eastAsia"/>
          <w:spacing w:val="-77"/>
          <w:w w:val="100"/>
          <w:sz w:val="15"/>
        </w:rPr>
        <w:t>）</w:t>
      </w:r>
      <w:r>
        <w:rPr>
          <w:rFonts w:ascii="宋体" w:eastAsia="宋体" w:hint="eastAsia"/>
          <w:spacing w:val="-3"/>
          <w:w w:val="100"/>
          <w:sz w:val="15"/>
        </w:rPr>
        <w:t>，并附以相应的文字说明。</w:t>
      </w:r>
    </w:p>
    <w:p>
      <w:pPr>
        <w:pStyle w:val="ListParagraph"/>
        <w:numPr>
          <w:ilvl w:val="0"/>
          <w:numId w:val="11"/>
        </w:numPr>
        <w:tabs>
          <w:tab w:pos="446" w:val="left" w:leader="none"/>
        </w:tabs>
        <w:spacing w:line="180" w:lineRule="exact" w:before="0" w:after="0"/>
        <w:ind w:left="445" w:right="0" w:hanging="226"/>
        <w:jc w:val="left"/>
        <w:rPr>
          <w:rFonts w:ascii="宋体" w:hAnsi="宋体" w:eastAsia="宋体" w:hint="eastAsia"/>
          <w:sz w:val="15"/>
        </w:rPr>
      </w:pPr>
      <w:r>
        <w:rPr>
          <w:rFonts w:ascii="宋体" w:hAnsi="宋体" w:eastAsia="宋体" w:hint="eastAsia"/>
          <w:spacing w:val="-3"/>
          <w:sz w:val="15"/>
        </w:rPr>
        <w:t>收费依据及标准：应注明收费（</w:t>
      </w:r>
      <w:r>
        <w:rPr>
          <w:rFonts w:ascii="宋体" w:hAnsi="宋体" w:eastAsia="宋体" w:hint="eastAsia"/>
          <w:sz w:val="15"/>
        </w:rPr>
        <w:t>税）</w:t>
      </w:r>
      <w:r>
        <w:rPr>
          <w:rFonts w:ascii="宋体" w:hAnsi="宋体" w:eastAsia="宋体" w:hint="eastAsia"/>
          <w:spacing w:val="-3"/>
          <w:sz w:val="15"/>
        </w:rPr>
        <w:t>的法定依据，标明收费（</w:t>
      </w:r>
      <w:r>
        <w:rPr>
          <w:rFonts w:ascii="宋体" w:hAnsi="宋体" w:eastAsia="宋体" w:hint="eastAsia"/>
          <w:sz w:val="15"/>
        </w:rPr>
        <w:t>税</w:t>
      </w:r>
      <w:r>
        <w:rPr>
          <w:rFonts w:ascii="宋体" w:hAnsi="宋体" w:eastAsia="宋体" w:hint="eastAsia"/>
          <w:spacing w:val="-3"/>
          <w:sz w:val="15"/>
        </w:rPr>
        <w:t>）项目及标准，无需收费的，应注明“无”或“不收费（税</w:t>
      </w:r>
      <w:r>
        <w:rPr>
          <w:rFonts w:ascii="宋体" w:hAnsi="宋体" w:eastAsia="宋体" w:hint="eastAsia"/>
          <w:spacing w:val="-76"/>
          <w:sz w:val="15"/>
        </w:rPr>
        <w:t>）</w:t>
      </w:r>
      <w:r>
        <w:rPr>
          <w:rFonts w:ascii="宋体" w:hAnsi="宋体" w:eastAsia="宋体" w:hint="eastAsia"/>
          <w:spacing w:val="-38"/>
          <w:sz w:val="15"/>
        </w:rPr>
        <w:t>”。</w:t>
      </w:r>
    </w:p>
    <w:p>
      <w:pPr>
        <w:pStyle w:val="ListParagraph"/>
        <w:numPr>
          <w:ilvl w:val="0"/>
          <w:numId w:val="11"/>
        </w:numPr>
        <w:tabs>
          <w:tab w:pos="446" w:val="left" w:leader="none"/>
        </w:tabs>
        <w:spacing w:line="180" w:lineRule="exact" w:before="0" w:after="0"/>
        <w:ind w:left="445" w:right="0" w:hanging="226"/>
        <w:jc w:val="left"/>
        <w:rPr>
          <w:rFonts w:ascii="宋体" w:eastAsia="宋体" w:hint="eastAsia"/>
          <w:sz w:val="15"/>
        </w:rPr>
      </w:pPr>
      <w:r>
        <w:rPr>
          <w:rFonts w:ascii="宋体" w:eastAsia="宋体" w:hint="eastAsia"/>
          <w:spacing w:val="-3"/>
          <w:sz w:val="15"/>
        </w:rPr>
        <w:t>承诺时限：承诺办结该事项所需的时间。</w:t>
      </w:r>
    </w:p>
    <w:p>
      <w:pPr>
        <w:pStyle w:val="ListParagraph"/>
        <w:numPr>
          <w:ilvl w:val="0"/>
          <w:numId w:val="11"/>
        </w:numPr>
        <w:tabs>
          <w:tab w:pos="523" w:val="left" w:leader="none"/>
        </w:tabs>
        <w:spacing w:line="186" w:lineRule="exact" w:before="0" w:after="0"/>
        <w:ind w:left="522" w:right="0" w:hanging="303"/>
        <w:jc w:val="left"/>
        <w:rPr>
          <w:rFonts w:ascii="宋体" w:eastAsia="宋体" w:hint="eastAsia"/>
          <w:sz w:val="15"/>
        </w:rPr>
      </w:pPr>
      <w:r>
        <w:rPr>
          <w:rFonts w:ascii="宋体" w:eastAsia="宋体" w:hint="eastAsia"/>
          <w:spacing w:val="-3"/>
          <w:sz w:val="15"/>
        </w:rPr>
        <w:t>表单填写：列明事项所涉及的申请书、申请表等表单种类及名称。</w:t>
      </w:r>
    </w:p>
    <w:p>
      <w:pPr>
        <w:spacing w:after="0" w:line="186" w:lineRule="exact"/>
        <w:jc w:val="left"/>
        <w:rPr>
          <w:rFonts w:ascii="宋体" w:eastAsia="宋体" w:hint="eastAsia"/>
          <w:sz w:val="15"/>
        </w:rPr>
        <w:sectPr>
          <w:pgSz w:w="16840" w:h="11910" w:orient="landscape"/>
          <w:pgMar w:header="0" w:footer="1355" w:top="1080" w:bottom="1540" w:left="1220" w:right="1340"/>
        </w:sectPr>
      </w:pPr>
    </w:p>
    <w:p>
      <w:pPr>
        <w:pStyle w:val="BodyText"/>
        <w:spacing w:before="43"/>
        <w:ind w:left="558"/>
        <w:rPr>
          <w:rFonts w:ascii="黑体" w:eastAsia="黑体" w:hint="eastAsia"/>
        </w:rPr>
      </w:pPr>
      <w:r>
        <w:rPr>
          <w:rFonts w:ascii="黑体" w:eastAsia="黑体" w:hint="eastAsia"/>
        </w:rPr>
        <w:t>附件 2</w:t>
      </w:r>
    </w:p>
    <w:p>
      <w:pPr>
        <w:pStyle w:val="BodyText"/>
        <w:spacing w:before="5"/>
        <w:rPr>
          <w:rFonts w:ascii="黑体"/>
          <w:sz w:val="42"/>
        </w:rPr>
      </w:pPr>
      <w:r>
        <w:rPr/>
        <w:br w:type="column"/>
      </w:r>
      <w:r>
        <w:rPr>
          <w:rFonts w:ascii="黑体"/>
          <w:sz w:val="42"/>
        </w:rPr>
      </w:r>
    </w:p>
    <w:p>
      <w:pPr>
        <w:pStyle w:val="BodyText"/>
        <w:spacing w:before="1"/>
        <w:ind w:left="313"/>
        <w:rPr>
          <w:rFonts w:ascii="方正小标宋简体" w:hAnsi="方正小标宋简体" w:eastAsia="方正小标宋简体" w:hint="eastAsia"/>
        </w:rPr>
      </w:pPr>
      <w:r>
        <w:rPr>
          <w:rFonts w:ascii="方正小标宋简体" w:hAnsi="方正小标宋简体" w:eastAsia="方正小标宋简体" w:hint="eastAsia"/>
        </w:rPr>
        <w:t>政务服务事项“一次办好”服务指南编写规范</w:t>
      </w:r>
    </w:p>
    <w:p>
      <w:pPr>
        <w:spacing w:after="0"/>
        <w:rPr>
          <w:rFonts w:ascii="方正小标宋简体" w:hAnsi="方正小标宋简体" w:eastAsia="方正小标宋简体" w:hint="eastAsia"/>
        </w:rPr>
        <w:sectPr>
          <w:footerReference w:type="default" r:id="rId8"/>
          <w:pgSz w:w="11910" w:h="16840"/>
          <w:pgMar w:footer="1613" w:header="0" w:top="1200" w:bottom="1800" w:left="860" w:right="620"/>
          <w:pgNumType w:start="27"/>
          <w:cols w:num="2" w:equalWidth="0">
            <w:col w:w="1521" w:space="40"/>
            <w:col w:w="8869"/>
          </w:cols>
        </w:sectPr>
      </w:pPr>
    </w:p>
    <w:p>
      <w:pPr>
        <w:pStyle w:val="BodyText"/>
        <w:spacing w:line="300" w:lineRule="auto" w:before="54"/>
        <w:ind w:left="558" w:right="833" w:firstLine="640"/>
        <w:jc w:val="both"/>
      </w:pPr>
      <w:r>
        <w:rPr/>
        <w:t>“一次办好”服务指南编写规范的内容包括：事项名称、子</w:t>
      </w:r>
      <w:r>
        <w:rPr>
          <w:spacing w:val="-18"/>
        </w:rPr>
        <w:t>项名称、事项编码、适用范围、事项类别、设立依据、受理机构、</w:t>
      </w:r>
      <w:r>
        <w:rPr/>
        <w:t>决定机构、办理条件、申请材料、办理方式、办理流程、办理时限、收费依据及标准、结果送达、行政救济途径及方式、咨询方式、监督投诉渠道、办理地址和时间、办理进程和结果查询、表单填写、示范文本、有关说明等。</w:t>
      </w:r>
    </w:p>
    <w:p>
      <w:pPr>
        <w:pStyle w:val="BodyText"/>
        <w:spacing w:line="300" w:lineRule="auto" w:before="4"/>
        <w:ind w:left="558" w:right="835" w:firstLine="643"/>
      </w:pPr>
      <w:r>
        <w:rPr>
          <w:rFonts w:ascii="仿宋_GB2312" w:hAnsi="仿宋_GB2312" w:eastAsia="仿宋_GB2312" w:hint="eastAsia"/>
          <w:b/>
          <w:spacing w:val="-17"/>
        </w:rPr>
        <w:t>事项名称。</w:t>
      </w:r>
      <w:r>
        <w:rPr>
          <w:spacing w:val="-14"/>
        </w:rPr>
        <w:t>事项的具体名称，应与政务服务事项“一次办好” </w:t>
      </w:r>
      <w:r>
        <w:rPr/>
        <w:t>清单中事项名称一致。</w:t>
      </w:r>
    </w:p>
    <w:p>
      <w:pPr>
        <w:pStyle w:val="BodyText"/>
        <w:spacing w:line="300" w:lineRule="auto"/>
        <w:ind w:left="558" w:right="836" w:firstLine="643"/>
      </w:pPr>
      <w:r>
        <w:rPr>
          <w:rFonts w:ascii="仿宋_GB2312" w:hAnsi="仿宋_GB2312" w:eastAsia="仿宋_GB2312" w:hint="eastAsia"/>
          <w:b/>
          <w:spacing w:val="4"/>
        </w:rPr>
        <w:t>子项名称。</w:t>
      </w:r>
      <w:r>
        <w:rPr/>
        <w:t>事项的具体子项名称，应与政务服务事项“一次办好”清单中事项名称一致。如无子项名称，填写主项名称。</w:t>
      </w:r>
    </w:p>
    <w:p>
      <w:pPr>
        <w:pStyle w:val="BodyText"/>
        <w:spacing w:line="447" w:lineRule="exact" w:before="0"/>
        <w:ind w:left="1201"/>
      </w:pPr>
      <w:r>
        <w:rPr>
          <w:rFonts w:ascii="仿宋_GB2312" w:eastAsia="仿宋_GB2312" w:hint="eastAsia"/>
          <w:b/>
          <w:w w:val="95"/>
        </w:rPr>
        <w:t>事项编码。</w:t>
      </w:r>
      <w:r>
        <w:rPr>
          <w:w w:val="95"/>
        </w:rPr>
        <w:t>事项编码为各级人民政府公布清单中的编码。</w:t>
      </w:r>
    </w:p>
    <w:p>
      <w:pPr>
        <w:pStyle w:val="BodyText"/>
        <w:spacing w:line="300" w:lineRule="auto" w:before="114"/>
        <w:ind w:left="1201" w:right="678"/>
      </w:pPr>
      <w:r>
        <w:rPr>
          <w:rFonts w:ascii="仿宋_GB2312" w:eastAsia="仿宋_GB2312" w:hint="eastAsia"/>
          <w:b/>
          <w:spacing w:val="-20"/>
        </w:rPr>
        <w:t>适用范围。</w:t>
      </w:r>
      <w:r>
        <w:rPr>
          <w:spacing w:val="-1"/>
        </w:rPr>
        <w:t>明确该服务指南所涉及的内容以及所适用的对象。</w:t>
      </w:r>
      <w:r>
        <w:rPr>
          <w:rFonts w:ascii="仿宋_GB2312" w:eastAsia="仿宋_GB2312" w:hint="eastAsia"/>
          <w:b/>
          <w:spacing w:val="-13"/>
        </w:rPr>
        <w:t>事项类别。</w:t>
      </w:r>
      <w:r>
        <w:rPr>
          <w:spacing w:val="-16"/>
        </w:rPr>
        <w:t>包括行政许可、行政确认、行政裁决、行政给付、</w:t>
      </w:r>
    </w:p>
    <w:p>
      <w:pPr>
        <w:pStyle w:val="BodyText"/>
        <w:spacing w:before="0"/>
        <w:ind w:left="558"/>
      </w:pPr>
      <w:r>
        <w:rPr/>
        <w:t>其他行政权力和公共服务。</w:t>
      </w:r>
    </w:p>
    <w:p>
      <w:pPr>
        <w:pStyle w:val="BodyText"/>
        <w:spacing w:line="300" w:lineRule="auto" w:before="114"/>
        <w:ind w:left="558" w:right="836" w:firstLine="643"/>
        <w:jc w:val="both"/>
      </w:pPr>
      <w:r>
        <w:rPr>
          <w:rFonts w:ascii="仿宋_GB2312" w:hAnsi="仿宋_GB2312" w:eastAsia="仿宋_GB2312" w:hint="eastAsia"/>
          <w:b/>
        </w:rPr>
        <w:t>设立依据。</w:t>
      </w:r>
      <w:r>
        <w:rPr/>
        <w:t>事项设立所依据的法律、法规、规章及其他规范性文件，须明确法律、法规、规章及规范性文件的名称、发布机关、发布文号及具体的条款和引文等。若有多个依据的，依效力层级逐一明确。应与政务服务事项“一次办好”清单中的审批服务事项设立依据一致。</w:t>
      </w:r>
    </w:p>
    <w:p>
      <w:pPr>
        <w:pStyle w:val="BodyText"/>
        <w:spacing w:line="300" w:lineRule="auto" w:before="3"/>
        <w:ind w:left="558" w:right="836" w:firstLine="643"/>
      </w:pPr>
      <w:r>
        <w:rPr>
          <w:rFonts w:ascii="仿宋_GB2312" w:eastAsia="仿宋_GB2312" w:hint="eastAsia"/>
          <w:b/>
        </w:rPr>
        <w:t>受理机构。</w:t>
      </w:r>
      <w:r>
        <w:rPr/>
        <w:t>受理该事项的具体机构名称，如郯城县行政审批服务局。</w:t>
      </w:r>
    </w:p>
    <w:p>
      <w:pPr>
        <w:pStyle w:val="BodyText"/>
        <w:ind w:left="1201"/>
      </w:pPr>
      <w:r>
        <w:rPr>
          <w:rFonts w:ascii="仿宋_GB2312" w:eastAsia="仿宋_GB2312" w:hint="eastAsia"/>
          <w:b/>
        </w:rPr>
        <w:t>决定机构。</w:t>
      </w:r>
      <w:r>
        <w:rPr/>
        <w:t>决定该事项的具体机构名称，如郯城县行政审批</w:t>
      </w:r>
    </w:p>
    <w:p>
      <w:pPr>
        <w:spacing w:after="0"/>
        <w:sectPr>
          <w:type w:val="continuous"/>
          <w:pgSz w:w="11910" w:h="16840"/>
          <w:pgMar w:top="1600" w:bottom="280" w:left="860" w:right="620"/>
        </w:sectPr>
      </w:pPr>
    </w:p>
    <w:p>
      <w:pPr>
        <w:pStyle w:val="BodyText"/>
        <w:spacing w:before="23"/>
        <w:ind w:left="558"/>
      </w:pPr>
      <w:r>
        <w:rPr/>
        <w:t>服务局。</w:t>
      </w:r>
    </w:p>
    <w:p>
      <w:pPr>
        <w:pStyle w:val="BodyText"/>
        <w:spacing w:line="300" w:lineRule="auto" w:before="114"/>
        <w:ind w:left="558" w:right="833" w:firstLine="643"/>
        <w:jc w:val="both"/>
      </w:pPr>
      <w:r>
        <w:rPr>
          <w:rFonts w:ascii="仿宋_GB2312" w:hAnsi="仿宋_GB2312" w:eastAsia="仿宋_GB2312" w:hint="eastAsia"/>
          <w:b/>
          <w:spacing w:val="4"/>
        </w:rPr>
        <w:t>办理条件。</w:t>
      </w:r>
      <w:r>
        <w:rPr/>
        <w:t>应说明相关法律法规所规定的申请人需具备的条</w:t>
      </w:r>
      <w:r>
        <w:rPr>
          <w:spacing w:val="2"/>
          <w:w w:val="99"/>
        </w:rPr>
        <w:t>件。用序号</w:t>
      </w:r>
      <w:r>
        <w:rPr>
          <w:spacing w:val="4"/>
          <w:w w:val="99"/>
        </w:rPr>
        <w:t>（一</w:t>
      </w:r>
      <w:r>
        <w:rPr>
          <w:spacing w:val="-159"/>
          <w:w w:val="99"/>
        </w:rPr>
        <w:t>）</w:t>
      </w:r>
      <w:r>
        <w:rPr>
          <w:spacing w:val="4"/>
          <w:w w:val="99"/>
        </w:rPr>
        <w:t>（</w:t>
      </w:r>
      <w:r>
        <w:rPr>
          <w:spacing w:val="2"/>
          <w:w w:val="99"/>
        </w:rPr>
        <w:t>二</w:t>
      </w:r>
      <w:r>
        <w:rPr>
          <w:spacing w:val="4"/>
          <w:w w:val="99"/>
        </w:rPr>
        <w:t>）</w:t>
      </w:r>
      <w:r>
        <w:rPr>
          <w:spacing w:val="-16"/>
          <w:w w:val="99"/>
        </w:rPr>
        <w:t>……分别说明，如：</w:t>
      </w:r>
      <w:r>
        <w:rPr>
          <w:spacing w:val="2"/>
          <w:w w:val="99"/>
        </w:rPr>
        <w:t>（</w:t>
      </w:r>
      <w:r>
        <w:rPr>
          <w:spacing w:val="4"/>
          <w:w w:val="99"/>
        </w:rPr>
        <w:t>一</w:t>
      </w:r>
      <w:r>
        <w:rPr>
          <w:spacing w:val="2"/>
          <w:w w:val="99"/>
        </w:rPr>
        <w:t>）</w:t>
      </w:r>
      <w:r>
        <w:rPr>
          <w:spacing w:val="1"/>
          <w:w w:val="99"/>
        </w:rPr>
        <w:t>完成工程设计</w:t>
      </w:r>
      <w:r>
        <w:rPr>
          <w:spacing w:val="-7"/>
          <w:w w:val="99"/>
        </w:rPr>
        <w:t>和合同约定的各项内容；</w:t>
      </w:r>
      <w:r>
        <w:rPr>
          <w:spacing w:val="9"/>
          <w:w w:val="99"/>
        </w:rPr>
        <w:t>（二）</w:t>
      </w:r>
      <w:r>
        <w:rPr>
          <w:spacing w:val="7"/>
          <w:w w:val="99"/>
        </w:rPr>
        <w:t>有完整的技术档案和施工管理资</w:t>
      </w:r>
      <w:r>
        <w:rPr>
          <w:spacing w:val="-16"/>
          <w:w w:val="99"/>
        </w:rPr>
        <w:t>料……。如有数量限制的，段末注明“有数量限制”，并写明具体</w:t>
      </w:r>
      <w:r>
        <w:rPr>
          <w:spacing w:val="-17"/>
        </w:rPr>
        <w:t>限制情况；如无注明，则默认为“无数量限制”。如有明确不予办</w:t>
      </w:r>
      <w:r>
        <w:rPr/>
        <w:t>理的情形，应注明。不得出现兜底条款，如“法律、法规规定的</w:t>
      </w:r>
      <w:r>
        <w:rPr>
          <w:spacing w:val="-28"/>
        </w:rPr>
        <w:t>其他条件”。</w:t>
      </w:r>
    </w:p>
    <w:p>
      <w:pPr>
        <w:pStyle w:val="BodyText"/>
        <w:spacing w:line="300" w:lineRule="auto" w:before="5"/>
        <w:ind w:left="558" w:right="835" w:firstLine="643"/>
        <w:jc w:val="both"/>
      </w:pPr>
      <w:r>
        <w:rPr>
          <w:rFonts w:ascii="仿宋_GB2312" w:hAnsi="仿宋_GB2312" w:eastAsia="仿宋_GB2312" w:hint="eastAsia"/>
          <w:b/>
          <w:spacing w:val="4"/>
        </w:rPr>
        <w:t>申请材料。</w:t>
      </w:r>
      <w:r>
        <w:rPr/>
        <w:t>依法依规列出政务服务事项“一次办好”各环节所需的全部材料目录，包括材料名称、性质（原件或复印件，复印件是否需要加盖公章或核验原件等</w:t>
      </w:r>
      <w:r>
        <w:rPr>
          <w:spacing w:val="-161"/>
        </w:rPr>
        <w:t>）</w:t>
      </w:r>
      <w:r>
        <w:rPr>
          <w:spacing w:val="-15"/>
        </w:rPr>
        <w:t>、数量、介质</w:t>
      </w:r>
      <w:r>
        <w:rPr/>
        <w:t>（</w:t>
      </w:r>
      <w:r>
        <w:rPr>
          <w:spacing w:val="-3"/>
        </w:rPr>
        <w:t>纸质或电子</w:t>
      </w:r>
      <w:r>
        <w:rPr/>
        <w:t>材料</w:t>
      </w:r>
      <w:r>
        <w:rPr>
          <w:spacing w:val="-102"/>
        </w:rPr>
        <w:t>）</w:t>
      </w:r>
      <w:r>
        <w:rPr>
          <w:spacing w:val="-13"/>
        </w:rPr>
        <w:t>，对材料的特殊格式要求等。材料目录不应有模糊性表述和</w:t>
      </w:r>
      <w:r>
        <w:rPr/>
        <w:t>兜底性条款。如需提供其他部门前置审批证件，应注明需要的审批证件具体名称及核发部门。条件允许的情况下，每个申请材料宜上传示例材料和空白表单；提供空白表单的，要按照政务服务事项“一次办好”清单中统一规范的表单上传。</w:t>
      </w:r>
    </w:p>
    <w:p>
      <w:pPr>
        <w:pStyle w:val="BodyText"/>
        <w:spacing w:line="300" w:lineRule="auto" w:before="6"/>
        <w:ind w:left="558" w:right="836" w:firstLine="643"/>
        <w:jc w:val="both"/>
      </w:pPr>
      <w:r>
        <w:rPr>
          <w:rFonts w:ascii="仿宋_GB2312" w:eastAsia="仿宋_GB2312" w:hint="eastAsia"/>
          <w:b/>
        </w:rPr>
        <w:t>办理方式。</w:t>
      </w:r>
      <w:r>
        <w:rPr/>
        <w:t>共有五种方式，分别为办理窗口受理；网上申请和预审，窗口纸质材料收件受理；网上申请、预审和受理，窗口纸质材料核验办结；全流程网上办理，申请人只需在办结后到窗口领取结果文书；全流程网上办理，申请人在网上自助打印结果文书。</w:t>
      </w:r>
    </w:p>
    <w:p>
      <w:pPr>
        <w:pStyle w:val="BodyText"/>
        <w:spacing w:line="300" w:lineRule="auto"/>
        <w:ind w:left="558" w:right="836" w:firstLine="643"/>
        <w:jc w:val="both"/>
      </w:pPr>
      <w:r>
        <w:rPr>
          <w:rFonts w:ascii="仿宋_GB2312" w:eastAsia="仿宋_GB2312" w:hint="eastAsia"/>
          <w:b/>
        </w:rPr>
        <w:t>办理流程。</w:t>
      </w:r>
      <w:r>
        <w:rPr/>
        <w:t>根据事项办理的有关规定，逐条列出从申请到办结全过程必经的程序和环节，内容应详细、真实。应运用简单的文字、连线和具体确定含义的符号绘制直观清晰的流程图。如现</w:t>
      </w:r>
    </w:p>
    <w:p>
      <w:pPr>
        <w:spacing w:after="0" w:line="300" w:lineRule="auto"/>
        <w:jc w:val="both"/>
        <w:sectPr>
          <w:pgSz w:w="11910" w:h="16840"/>
          <w:pgMar w:header="0" w:footer="1613" w:top="1220" w:bottom="1880" w:left="860" w:right="620"/>
        </w:sectPr>
      </w:pPr>
    </w:p>
    <w:p>
      <w:pPr>
        <w:pStyle w:val="BodyText"/>
        <w:spacing w:before="23"/>
        <w:ind w:left="558"/>
      </w:pPr>
      <w:r>
        <w:rPr/>
        <w:t>场办理和网上办理的办事流程不一致，需分别绘制流程图。</w:t>
      </w:r>
    </w:p>
    <w:p>
      <w:pPr>
        <w:pStyle w:val="BodyText"/>
        <w:spacing w:line="300" w:lineRule="auto" w:before="114"/>
        <w:ind w:left="558" w:right="833" w:firstLine="643"/>
        <w:jc w:val="both"/>
      </w:pPr>
      <w:r>
        <w:rPr>
          <w:rFonts w:ascii="仿宋_GB2312" w:hAnsi="仿宋_GB2312" w:eastAsia="仿宋_GB2312" w:hint="eastAsia"/>
          <w:b/>
          <w:spacing w:val="4"/>
        </w:rPr>
        <w:t>办理时限。</w:t>
      </w:r>
      <w:r>
        <w:rPr/>
        <w:t>办理时限为阿拉伯数字</w:t>
      </w:r>
      <w:r>
        <w:rPr>
          <w:spacing w:val="4"/>
        </w:rPr>
        <w:t>（</w:t>
      </w:r>
      <w:r>
        <w:rPr/>
        <w:t>数字前不加 </w:t>
      </w:r>
      <w:r>
        <w:rPr>
          <w:spacing w:val="3"/>
        </w:rPr>
        <w:t>0</w:t>
      </w:r>
      <w:r>
        <w:rPr>
          <w:spacing w:val="1"/>
        </w:rPr>
        <w:t>，如不可</w:t>
      </w:r>
      <w:r>
        <w:rPr>
          <w:spacing w:val="2"/>
          <w:w w:val="99"/>
        </w:rPr>
        <w:t>写作“</w:t>
      </w:r>
      <w:r>
        <w:rPr>
          <w:spacing w:val="-1"/>
          <w:w w:val="99"/>
        </w:rPr>
        <w:t>0</w:t>
      </w:r>
      <w:r>
        <w:rPr>
          <w:spacing w:val="-3"/>
          <w:w w:val="99"/>
        </w:rPr>
        <w:t>1</w:t>
      </w:r>
      <w:r>
        <w:rPr>
          <w:spacing w:val="-77"/>
          <w:w w:val="99"/>
        </w:rPr>
        <w:t>”“</w:t>
      </w:r>
      <w:r>
        <w:rPr>
          <w:spacing w:val="-1"/>
          <w:w w:val="99"/>
        </w:rPr>
        <w:t>001</w:t>
      </w:r>
      <w:r>
        <w:rPr>
          <w:spacing w:val="2"/>
          <w:w w:val="99"/>
        </w:rPr>
        <w:t>”等</w:t>
      </w:r>
      <w:r>
        <w:rPr>
          <w:w w:val="99"/>
        </w:rPr>
        <w:t>）</w:t>
      </w:r>
      <w:r>
        <w:rPr>
          <w:spacing w:val="1"/>
          <w:w w:val="99"/>
        </w:rPr>
        <w:t>加单位</w:t>
      </w:r>
      <w:r>
        <w:rPr>
          <w:w w:val="99"/>
        </w:rPr>
        <w:t>（以工作日为单位</w:t>
      </w:r>
      <w:r>
        <w:rPr>
          <w:spacing w:val="-159"/>
          <w:w w:val="99"/>
        </w:rPr>
        <w:t>）</w:t>
      </w:r>
      <w:r>
        <w:rPr>
          <w:w w:val="99"/>
        </w:rPr>
        <w:t>。法律法规对审</w:t>
      </w:r>
      <w:r>
        <w:rPr/>
        <w:t>批时限有明确规定的，依据规定明确法定时限，并注明所依据的法律法规名称及具体条款；决定机关能够缩短法定办理时限并作出书面承诺的，列出承诺时限。当场能做出决定予以审批的，办</w:t>
      </w:r>
      <w:r>
        <w:rPr>
          <w:spacing w:val="-15"/>
        </w:rPr>
        <w:t>理时限列为“即时办结”。依法需要听证、招标、拍卖、检验、检</w:t>
      </w:r>
      <w:r>
        <w:rPr/>
        <w:t>测、检疫、鉴定和专家评审的，所需时间不计算在办理时限内， 但要另外注明所需时限。</w:t>
      </w:r>
    </w:p>
    <w:p>
      <w:pPr>
        <w:pStyle w:val="BodyText"/>
        <w:spacing w:line="300" w:lineRule="auto" w:before="4"/>
        <w:ind w:left="558" w:right="834" w:firstLine="643"/>
        <w:jc w:val="both"/>
      </w:pPr>
      <w:r>
        <w:rPr>
          <w:rFonts w:ascii="仿宋_GB2312" w:hAnsi="仿宋_GB2312" w:eastAsia="仿宋_GB2312" w:hint="eastAsia"/>
          <w:b/>
          <w:spacing w:val="-15"/>
        </w:rPr>
        <w:t>收费依据及标准。</w:t>
      </w:r>
      <w:r>
        <w:rPr>
          <w:spacing w:val="-29"/>
        </w:rPr>
        <w:t>注明收费</w:t>
      </w:r>
      <w:r>
        <w:rPr/>
        <w:t>（税</w:t>
      </w:r>
      <w:r>
        <w:rPr>
          <w:spacing w:val="-116"/>
        </w:rPr>
        <w:t>）</w:t>
      </w:r>
      <w:r>
        <w:rPr>
          <w:spacing w:val="-25"/>
        </w:rPr>
        <w:t>的法定依据、标明收费</w:t>
      </w:r>
      <w:r>
        <w:rPr/>
        <w:t>（税</w:t>
      </w:r>
      <w:r>
        <w:rPr>
          <w:spacing w:val="-11"/>
        </w:rPr>
        <w:t>） </w:t>
      </w:r>
      <w:r>
        <w:rPr>
          <w:spacing w:val="-21"/>
          <w:w w:val="95"/>
        </w:rPr>
        <w:t>的项目及标准。无需收费</w:t>
      </w:r>
      <w:r>
        <w:rPr>
          <w:w w:val="95"/>
        </w:rPr>
        <w:t>（税</w:t>
      </w:r>
      <w:r>
        <w:rPr>
          <w:spacing w:val="-108"/>
          <w:w w:val="95"/>
        </w:rPr>
        <w:t>）</w:t>
      </w:r>
      <w:r>
        <w:rPr>
          <w:spacing w:val="-46"/>
          <w:w w:val="95"/>
        </w:rPr>
        <w:t>的，应注明“无”或“不收费</w:t>
      </w:r>
      <w:r>
        <w:rPr>
          <w:w w:val="95"/>
        </w:rPr>
        <w:t>（税</w:t>
      </w:r>
      <w:r>
        <w:rPr>
          <w:spacing w:val="-160"/>
          <w:w w:val="95"/>
        </w:rPr>
        <w:t>）</w:t>
      </w:r>
      <w:r>
        <w:rPr>
          <w:spacing w:val="-80"/>
          <w:w w:val="95"/>
        </w:rPr>
        <w:t>”。  </w:t>
      </w:r>
      <w:r>
        <w:rPr>
          <w:spacing w:val="-48"/>
          <w:w w:val="95"/>
        </w:rPr>
        <w:t>收费</w:t>
      </w:r>
      <w:r>
        <w:rPr>
          <w:w w:val="95"/>
        </w:rPr>
        <w:t>（税</w:t>
      </w:r>
      <w:r>
        <w:rPr>
          <w:spacing w:val="-13"/>
          <w:w w:val="95"/>
        </w:rPr>
        <w:t>）</w:t>
      </w:r>
      <w:r>
        <w:rPr>
          <w:spacing w:val="-3"/>
          <w:w w:val="95"/>
        </w:rPr>
        <w:t>应提供网络交费</w:t>
      </w:r>
      <w:r>
        <w:rPr>
          <w:w w:val="95"/>
        </w:rPr>
        <w:t>（税</w:t>
      </w:r>
      <w:r>
        <w:rPr>
          <w:spacing w:val="-161"/>
          <w:w w:val="95"/>
        </w:rPr>
        <w:t>）</w:t>
      </w:r>
      <w:r>
        <w:rPr>
          <w:spacing w:val="-7"/>
          <w:w w:val="95"/>
        </w:rPr>
        <w:t>、现场交费</w:t>
      </w:r>
      <w:r>
        <w:rPr>
          <w:w w:val="95"/>
        </w:rPr>
        <w:t>（税</w:t>
      </w:r>
      <w:r>
        <w:rPr>
          <w:spacing w:val="-13"/>
          <w:w w:val="95"/>
        </w:rPr>
        <w:t>）</w:t>
      </w:r>
      <w:r>
        <w:rPr>
          <w:w w:val="95"/>
        </w:rPr>
        <w:t>等多种支付方 </w:t>
      </w:r>
      <w:r>
        <w:rPr/>
        <w:t>式，建立接入银行、第三方支付平台等机构的线上集中统一支付平台，并提供使用操作方法。</w:t>
      </w:r>
    </w:p>
    <w:p>
      <w:pPr>
        <w:pStyle w:val="BodyText"/>
        <w:spacing w:line="300" w:lineRule="auto" w:before="4"/>
        <w:ind w:left="558" w:right="830" w:firstLine="643"/>
        <w:jc w:val="both"/>
      </w:pPr>
      <w:r>
        <w:rPr>
          <w:rFonts w:ascii="仿宋_GB2312" w:eastAsia="仿宋_GB2312" w:hint="eastAsia"/>
          <w:b/>
          <w:spacing w:val="4"/>
        </w:rPr>
        <w:t>结果送达。</w:t>
      </w:r>
      <w:r>
        <w:rPr/>
        <w:t>明确决定书送达的所有方式。如窗口领取、邮政</w:t>
      </w:r>
      <w:r>
        <w:rPr>
          <w:spacing w:val="-9"/>
        </w:rPr>
        <w:t>寄递结果文书、电子证照窗口拷取、电子证照网上下载等。 行政</w:t>
      </w:r>
      <w:r>
        <w:rPr/>
        <w:t>救济途径及方式。列出服务对象的行政救济权利，包括行政复议和行政诉讼，其他应列出法律救济的部门名称、地点、联系方式等信息。</w:t>
      </w:r>
    </w:p>
    <w:p>
      <w:pPr>
        <w:pStyle w:val="BodyText"/>
        <w:spacing w:line="300" w:lineRule="auto" w:before="5"/>
        <w:ind w:left="558" w:right="834" w:firstLine="643"/>
        <w:jc w:val="both"/>
      </w:pPr>
      <w:r>
        <w:rPr>
          <w:rFonts w:ascii="仿宋_GB2312" w:hAnsi="仿宋_GB2312" w:eastAsia="仿宋_GB2312" w:hint="eastAsia"/>
          <w:b/>
          <w:spacing w:val="4"/>
        </w:rPr>
        <w:t>咨询方式。</w:t>
      </w:r>
      <w:r>
        <w:rPr/>
        <w:t>列明接受咨询的具体途径，包括窗口咨询、电话咨询、网上咨询、电子邮件咨询等。其中，窗口咨询的，应列出</w:t>
      </w:r>
      <w:r>
        <w:rPr>
          <w:spacing w:val="3"/>
        </w:rPr>
        <w:t>窗口咨询地址，如郯城县政务服务中心一楼 </w:t>
      </w:r>
      <w:r>
        <w:rPr/>
        <w:t>01 窗口；电话咨询</w:t>
      </w:r>
      <w:r>
        <w:rPr>
          <w:spacing w:val="-8"/>
          <w:w w:val="99"/>
        </w:rPr>
        <w:t>的，应列出咨询电话号码</w:t>
      </w:r>
      <w:r>
        <w:rPr>
          <w:spacing w:val="2"/>
          <w:w w:val="99"/>
        </w:rPr>
        <w:t>（</w:t>
      </w:r>
      <w:r>
        <w:rPr>
          <w:w w:val="99"/>
        </w:rPr>
        <w:t>号码前加区号</w:t>
      </w:r>
      <w:r>
        <w:rPr>
          <w:spacing w:val="-161"/>
          <w:w w:val="99"/>
        </w:rPr>
        <w:t>）</w:t>
      </w:r>
      <w:r>
        <w:rPr>
          <w:spacing w:val="-5"/>
          <w:w w:val="99"/>
        </w:rPr>
        <w:t>，如有多个号码要用顿</w:t>
      </w:r>
      <w:r>
        <w:rPr>
          <w:spacing w:val="-2"/>
        </w:rPr>
        <w:t>号隔开，如 </w:t>
      </w:r>
      <w:r>
        <w:rPr/>
        <w:t>0539—XXXXXXX</w:t>
      </w:r>
      <w:r>
        <w:rPr>
          <w:spacing w:val="-2"/>
        </w:rPr>
        <w:t>、……；网上咨询的，应列出咨询</w:t>
      </w:r>
    </w:p>
    <w:p>
      <w:pPr>
        <w:spacing w:after="0" w:line="300" w:lineRule="auto"/>
        <w:jc w:val="both"/>
        <w:sectPr>
          <w:pgSz w:w="11910" w:h="16840"/>
          <w:pgMar w:header="0" w:footer="1613" w:top="1220" w:bottom="1880" w:left="860" w:right="620"/>
        </w:sectPr>
      </w:pPr>
    </w:p>
    <w:p>
      <w:pPr>
        <w:pStyle w:val="BodyText"/>
        <w:spacing w:before="23"/>
        <w:ind w:left="558"/>
      </w:pPr>
      <w:r>
        <w:rPr/>
        <w:t>网址；电子邮件咨询的，应列出电子邮箱。</w:t>
      </w:r>
    </w:p>
    <w:p>
      <w:pPr>
        <w:pStyle w:val="BodyText"/>
        <w:spacing w:line="300" w:lineRule="auto" w:before="114"/>
        <w:ind w:left="558" w:right="832" w:firstLine="643"/>
        <w:jc w:val="both"/>
      </w:pPr>
      <w:r>
        <w:rPr>
          <w:rFonts w:ascii="仿宋_GB2312" w:hAnsi="仿宋_GB2312" w:eastAsia="仿宋_GB2312" w:hint="eastAsia"/>
          <w:b/>
          <w:spacing w:val="3"/>
        </w:rPr>
        <w:t>监督投诉渠道。</w:t>
      </w:r>
      <w:r>
        <w:rPr/>
        <w:t>列明现场监督投诉、电话监督投诉、网上监督投诉等途径。其中，现场投诉的，应列出现场投诉地址；电话</w:t>
      </w:r>
      <w:r>
        <w:rPr>
          <w:spacing w:val="-7"/>
          <w:w w:val="99"/>
        </w:rPr>
        <w:t>投诉的，应列出投诉电话号码</w:t>
      </w:r>
      <w:r>
        <w:rPr>
          <w:w w:val="99"/>
        </w:rPr>
        <w:t>（号码前加区号</w:t>
      </w:r>
      <w:r>
        <w:rPr>
          <w:spacing w:val="-161"/>
          <w:w w:val="99"/>
        </w:rPr>
        <w:t>）</w:t>
      </w:r>
      <w:r>
        <w:rPr>
          <w:spacing w:val="-6"/>
          <w:w w:val="99"/>
        </w:rPr>
        <w:t>，如有多个号码要</w:t>
      </w:r>
      <w:r>
        <w:rPr>
          <w:spacing w:val="-2"/>
        </w:rPr>
        <w:t>用顿号隔开，如 </w:t>
      </w:r>
      <w:r>
        <w:rPr/>
        <w:t>0539—XXXXXXX</w:t>
      </w:r>
      <w:r>
        <w:rPr>
          <w:spacing w:val="-1"/>
        </w:rPr>
        <w:t>、……；网络投诉的，应列出</w:t>
      </w:r>
      <w:r>
        <w:rPr/>
        <w:t>网址或电子邮箱；信函投诉的，应列出投诉受理部门名称、通讯地址和邮政编码。同时，应明确事项实施机构回复的时限、形式等。</w:t>
      </w:r>
    </w:p>
    <w:p>
      <w:pPr>
        <w:pStyle w:val="BodyText"/>
        <w:spacing w:line="300" w:lineRule="auto" w:before="5"/>
        <w:ind w:left="558" w:right="674" w:firstLine="643"/>
      </w:pPr>
      <w:r>
        <w:rPr>
          <w:rFonts w:ascii="仿宋_GB2312" w:hAnsi="仿宋_GB2312" w:eastAsia="仿宋_GB2312" w:hint="eastAsia"/>
          <w:b/>
          <w:spacing w:val="3"/>
        </w:rPr>
        <w:t>办理地址和时间。</w:t>
      </w:r>
      <w:r>
        <w:rPr/>
        <w:t>事项办理地点的地址要详细。如：郯城县</w:t>
      </w:r>
      <w:r>
        <w:rPr>
          <w:spacing w:val="-9"/>
        </w:rPr>
        <w:t>东城新区白马河路 </w:t>
      </w:r>
      <w:r>
        <w:rPr/>
        <w:t>11</w:t>
      </w:r>
      <w:r>
        <w:rPr>
          <w:spacing w:val="-17"/>
        </w:rPr>
        <w:t> 号政务服务中心一楼 </w:t>
      </w:r>
      <w:r>
        <w:rPr/>
        <w:t>01</w:t>
      </w:r>
      <w:r>
        <w:rPr>
          <w:spacing w:val="-24"/>
        </w:rPr>
        <w:t> 窗口，乘坐公交车 </w:t>
      </w:r>
      <w:r>
        <w:rPr/>
        <w:t>2 </w:t>
      </w:r>
      <w:r>
        <w:rPr>
          <w:spacing w:val="-50"/>
        </w:rPr>
        <w:t>路、</w:t>
      </w:r>
      <w:r>
        <w:rPr/>
        <w:t>7</w:t>
      </w:r>
      <w:r>
        <w:rPr>
          <w:spacing w:val="-24"/>
        </w:rPr>
        <w:t> 路，至“县政务服务中心站”。办理时间主要说明办公时间， </w:t>
      </w:r>
      <w:r>
        <w:rPr>
          <w:spacing w:val="8"/>
          <w:w w:val="99"/>
        </w:rPr>
        <w:t>时间格式为周</w:t>
      </w:r>
      <w:r>
        <w:rPr>
          <w:spacing w:val="-2"/>
          <w:w w:val="99"/>
        </w:rPr>
        <w:t>X</w:t>
      </w:r>
      <w:r>
        <w:rPr>
          <w:spacing w:val="25"/>
          <w:w w:val="99"/>
        </w:rPr>
        <w:t>—周</w:t>
      </w:r>
      <w:r>
        <w:rPr>
          <w:spacing w:val="1"/>
          <w:w w:val="99"/>
        </w:rPr>
        <w:t>X</w:t>
      </w:r>
      <w:r>
        <w:rPr>
          <w:spacing w:val="-54"/>
          <w:w w:val="99"/>
        </w:rPr>
        <w:t>，上午</w:t>
      </w:r>
      <w:r>
        <w:rPr>
          <w:spacing w:val="1"/>
        </w:rPr>
        <w:t> </w:t>
      </w:r>
      <w:r>
        <w:rPr>
          <w:spacing w:val="-1"/>
          <w:w w:val="99"/>
        </w:rPr>
        <w:t>hh</w:t>
      </w:r>
      <w:r>
        <w:rPr>
          <w:spacing w:val="-159"/>
          <w:w w:val="99"/>
        </w:rPr>
        <w:t>：</w:t>
      </w:r>
      <w:r>
        <w:rPr>
          <w:spacing w:val="-1"/>
          <w:w w:val="99"/>
        </w:rPr>
        <w:t>mm</w:t>
      </w:r>
      <w:r>
        <w:rPr>
          <w:spacing w:val="2"/>
          <w:w w:val="99"/>
        </w:rPr>
        <w:t>—</w:t>
      </w:r>
      <w:r>
        <w:rPr>
          <w:spacing w:val="-1"/>
          <w:w w:val="99"/>
        </w:rPr>
        <w:t>hh</w:t>
      </w:r>
      <w:r>
        <w:rPr>
          <w:spacing w:val="-159"/>
          <w:w w:val="99"/>
        </w:rPr>
        <w:t>：</w:t>
      </w:r>
      <w:r>
        <w:rPr>
          <w:spacing w:val="1"/>
          <w:w w:val="99"/>
        </w:rPr>
        <w:t>m</w:t>
      </w:r>
      <w:r>
        <w:rPr>
          <w:spacing w:val="-1"/>
          <w:w w:val="99"/>
        </w:rPr>
        <w:t>m</w:t>
      </w:r>
      <w:r>
        <w:rPr>
          <w:spacing w:val="-53"/>
          <w:w w:val="99"/>
        </w:rPr>
        <w:t>，下午</w:t>
      </w:r>
      <w:r>
        <w:rPr>
          <w:spacing w:val="3"/>
        </w:rPr>
        <w:t> </w:t>
      </w:r>
      <w:r>
        <w:rPr>
          <w:spacing w:val="-1"/>
          <w:w w:val="99"/>
        </w:rPr>
        <w:t>h</w:t>
      </w:r>
      <w:r>
        <w:rPr>
          <w:w w:val="99"/>
        </w:rPr>
        <w:t>h</w:t>
      </w:r>
      <w:r>
        <w:rPr>
          <w:spacing w:val="-159"/>
          <w:w w:val="99"/>
        </w:rPr>
        <w:t>：</w:t>
      </w:r>
      <w:r>
        <w:rPr>
          <w:spacing w:val="-1"/>
          <w:w w:val="99"/>
        </w:rPr>
        <w:t>mm-hh</w:t>
      </w:r>
      <w:r>
        <w:rPr>
          <w:w w:val="99"/>
        </w:rPr>
        <w:t>： </w:t>
      </w:r>
      <w:r>
        <w:rPr/>
        <w:t>mm</w:t>
      </w:r>
      <w:r>
        <w:rPr>
          <w:spacing w:val="-17"/>
        </w:rPr>
        <w:t>。如：周一至周五，夏令时上午 </w:t>
      </w:r>
      <w:r>
        <w:rPr>
          <w:spacing w:val="-19"/>
        </w:rPr>
        <w:t>8：30-12：00</w:t>
      </w:r>
      <w:r>
        <w:rPr>
          <w:spacing w:val="-6"/>
        </w:rPr>
        <w:t>，下午 </w:t>
      </w:r>
      <w:r>
        <w:rPr>
          <w:spacing w:val="-10"/>
        </w:rPr>
        <w:t>2：00-5： </w:t>
      </w:r>
      <w:r>
        <w:rPr>
          <w:spacing w:val="2"/>
        </w:rPr>
        <w:t>30；</w:t>
      </w:r>
      <w:r>
        <w:rPr>
          <w:spacing w:val="3"/>
        </w:rPr>
        <w:t>冬令时上午 </w:t>
      </w:r>
      <w:r>
        <w:rPr>
          <w:spacing w:val="2"/>
        </w:rPr>
        <w:t>8：30-12：00，下午 1：30-5：00</w:t>
      </w:r>
      <w:r>
        <w:rPr>
          <w:spacing w:val="4"/>
        </w:rPr>
        <w:t>。在各级服务</w:t>
      </w:r>
      <w:r>
        <w:rPr/>
        <w:t>大厅办理的政务服务事项，原则上由本级政务服务中心管理机构进行统一规范。</w:t>
      </w:r>
    </w:p>
    <w:p>
      <w:pPr>
        <w:spacing w:line="300" w:lineRule="auto" w:before="6"/>
        <w:ind w:left="558" w:right="836" w:firstLine="643"/>
        <w:jc w:val="left"/>
        <w:rPr>
          <w:sz w:val="32"/>
        </w:rPr>
      </w:pPr>
      <w:r>
        <w:rPr>
          <w:rFonts w:ascii="仿宋_GB2312" w:eastAsia="仿宋_GB2312" w:hint="eastAsia"/>
          <w:b/>
          <w:sz w:val="32"/>
        </w:rPr>
        <w:t>办理进程和结果查询。</w:t>
      </w:r>
      <w:r>
        <w:rPr>
          <w:sz w:val="32"/>
        </w:rPr>
        <w:t>注明事项办理进程和结果的查询方式和途径。</w:t>
      </w:r>
    </w:p>
    <w:p>
      <w:pPr>
        <w:pStyle w:val="BodyText"/>
        <w:spacing w:line="300" w:lineRule="auto" w:before="0"/>
        <w:ind w:left="558" w:right="836" w:firstLine="643"/>
      </w:pPr>
      <w:r>
        <w:rPr>
          <w:rFonts w:ascii="仿宋_GB2312" w:eastAsia="仿宋_GB2312" w:hint="eastAsia"/>
          <w:b/>
        </w:rPr>
        <w:t>表单填写。</w:t>
      </w:r>
      <w:r>
        <w:rPr/>
        <w:t>列明事项所涉及的申请书、申请表等表单种类及名称。</w:t>
      </w:r>
    </w:p>
    <w:p>
      <w:pPr>
        <w:pStyle w:val="BodyText"/>
        <w:spacing w:line="300" w:lineRule="auto" w:before="1"/>
        <w:ind w:left="558" w:right="836" w:firstLine="643"/>
      </w:pPr>
      <w:r>
        <w:rPr>
          <w:rFonts w:ascii="仿宋_GB2312" w:eastAsia="仿宋_GB2312" w:hint="eastAsia"/>
          <w:b/>
        </w:rPr>
        <w:t>示范文本。</w:t>
      </w:r>
      <w:r>
        <w:rPr/>
        <w:t>提供完整规范、内容明确的示范表格及符合标准的示范材料图片。</w:t>
      </w:r>
    </w:p>
    <w:p>
      <w:pPr>
        <w:spacing w:before="3"/>
        <w:ind w:left="1201" w:right="0" w:firstLine="0"/>
        <w:jc w:val="left"/>
        <w:rPr>
          <w:sz w:val="32"/>
        </w:rPr>
      </w:pPr>
      <w:r>
        <w:rPr>
          <w:rFonts w:ascii="仿宋_GB2312" w:eastAsia="仿宋_GB2312" w:hint="eastAsia"/>
          <w:b/>
          <w:sz w:val="32"/>
        </w:rPr>
        <w:t>有关说明。</w:t>
      </w:r>
      <w:r>
        <w:rPr>
          <w:sz w:val="32"/>
        </w:rPr>
        <w:t>列出办理过程中需要特别说明的事项等。</w:t>
      </w:r>
    </w:p>
    <w:p>
      <w:pPr>
        <w:spacing w:after="0"/>
        <w:jc w:val="left"/>
        <w:rPr>
          <w:sz w:val="32"/>
        </w:rPr>
        <w:sectPr>
          <w:pgSz w:w="11910" w:h="16840"/>
          <w:pgMar w:header="0" w:footer="1613" w:top="1220" w:bottom="1880" w:left="860" w:right="620"/>
        </w:sectPr>
      </w:pPr>
    </w:p>
    <w:p>
      <w:pPr>
        <w:pStyle w:val="BodyText"/>
        <w:spacing w:before="33"/>
        <w:ind w:left="558"/>
        <w:rPr>
          <w:rFonts w:ascii="黑体" w:eastAsia="黑体" w:hint="eastAsia"/>
        </w:rPr>
      </w:pPr>
      <w:r>
        <w:rPr>
          <w:rFonts w:ascii="黑体" w:eastAsia="黑体" w:hint="eastAsia"/>
        </w:rPr>
        <w:t>附件 3</w:t>
      </w:r>
    </w:p>
    <w:p>
      <w:pPr>
        <w:pStyle w:val="BodyText"/>
        <w:spacing w:before="4"/>
        <w:rPr>
          <w:rFonts w:ascii="黑体"/>
        </w:rPr>
      </w:pPr>
      <w:r>
        <w:rPr/>
        <w:br w:type="column"/>
      </w:r>
      <w:r>
        <w:rPr>
          <w:rFonts w:ascii="黑体"/>
        </w:rPr>
      </w:r>
    </w:p>
    <w:p>
      <w:pPr>
        <w:pStyle w:val="BodyText"/>
        <w:spacing w:line="550" w:lineRule="exact" w:before="0"/>
        <w:ind w:left="-6"/>
        <w:rPr>
          <w:rFonts w:ascii="方正小标宋简体" w:eastAsia="方正小标宋简体" w:hint="eastAsia"/>
        </w:rPr>
      </w:pPr>
      <w:r>
        <w:rPr>
          <w:rFonts w:ascii="方正小标宋简体" w:eastAsia="方正小标宋简体" w:hint="eastAsia"/>
        </w:rPr>
        <w:t>示范文本样表（商品房预售许可证明核发申请表）</w:t>
      </w:r>
    </w:p>
    <w:p>
      <w:pPr>
        <w:spacing w:line="342" w:lineRule="exact" w:before="0"/>
        <w:ind w:left="5719" w:right="0" w:firstLine="0"/>
        <w:jc w:val="left"/>
        <w:rPr>
          <w:rFonts w:ascii="楷体" w:eastAsia="楷体" w:hint="eastAsia"/>
          <w:sz w:val="28"/>
        </w:rPr>
      </w:pPr>
      <w:r>
        <w:rPr>
          <w:rFonts w:ascii="楷体" w:eastAsia="楷体" w:hint="eastAsia"/>
          <w:sz w:val="28"/>
        </w:rPr>
        <w:t>业务编号：</w:t>
      </w:r>
    </w:p>
    <w:p>
      <w:pPr>
        <w:spacing w:after="0" w:line="342" w:lineRule="exact"/>
        <w:jc w:val="left"/>
        <w:rPr>
          <w:rFonts w:ascii="楷体" w:eastAsia="楷体" w:hint="eastAsia"/>
          <w:sz w:val="28"/>
        </w:rPr>
        <w:sectPr>
          <w:pgSz w:w="11910" w:h="16840"/>
          <w:pgMar w:header="0" w:footer="1613" w:top="1080" w:bottom="1880" w:left="860" w:right="620"/>
          <w:cols w:num="2" w:equalWidth="0">
            <w:col w:w="1521" w:space="40"/>
            <w:col w:w="8869"/>
          </w:cols>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24"/>
        <w:gridCol w:w="1729"/>
        <w:gridCol w:w="1116"/>
        <w:gridCol w:w="1421"/>
        <w:gridCol w:w="1557"/>
        <w:gridCol w:w="1289"/>
        <w:gridCol w:w="1423"/>
      </w:tblGrid>
      <w:tr>
        <w:trPr>
          <w:trHeight w:val="561" w:hRule="atLeast"/>
        </w:trPr>
        <w:tc>
          <w:tcPr>
            <w:tcW w:w="9959" w:type="dxa"/>
            <w:gridSpan w:val="7"/>
          </w:tcPr>
          <w:p>
            <w:pPr>
              <w:pStyle w:val="TableParagraph"/>
              <w:spacing w:before="1"/>
              <w:rPr>
                <w:rFonts w:ascii="楷体"/>
                <w:sz w:val="21"/>
              </w:rPr>
            </w:pPr>
          </w:p>
          <w:p>
            <w:pPr>
              <w:pStyle w:val="TableParagraph"/>
              <w:spacing w:before="1"/>
              <w:ind w:left="107"/>
              <w:rPr>
                <w:sz w:val="18"/>
              </w:rPr>
            </w:pPr>
            <w:r>
              <w:rPr>
                <w:sz w:val="18"/>
              </w:rPr>
              <w:t>一、建设单位情况</w:t>
            </w:r>
          </w:p>
        </w:tc>
      </w:tr>
      <w:tr>
        <w:trPr>
          <w:trHeight w:val="558" w:hRule="atLeast"/>
        </w:trPr>
        <w:tc>
          <w:tcPr>
            <w:tcW w:w="1424" w:type="dxa"/>
          </w:tcPr>
          <w:p>
            <w:pPr>
              <w:pStyle w:val="TableParagraph"/>
              <w:spacing w:before="12"/>
              <w:rPr>
                <w:rFonts w:ascii="楷体"/>
                <w:sz w:val="20"/>
              </w:rPr>
            </w:pPr>
          </w:p>
          <w:p>
            <w:pPr>
              <w:pStyle w:val="TableParagraph"/>
              <w:ind w:left="150" w:right="143"/>
              <w:jc w:val="center"/>
              <w:rPr>
                <w:sz w:val="18"/>
              </w:rPr>
            </w:pPr>
            <w:r>
              <w:rPr>
                <w:sz w:val="18"/>
              </w:rPr>
              <w:t>单位名称</w:t>
            </w:r>
          </w:p>
        </w:tc>
        <w:tc>
          <w:tcPr>
            <w:tcW w:w="1729" w:type="dxa"/>
          </w:tcPr>
          <w:p>
            <w:pPr>
              <w:pStyle w:val="TableParagraph"/>
              <w:spacing w:before="12"/>
              <w:rPr>
                <w:rFonts w:ascii="楷体"/>
                <w:sz w:val="20"/>
              </w:rPr>
            </w:pPr>
          </w:p>
          <w:p>
            <w:pPr>
              <w:pStyle w:val="TableParagraph"/>
              <w:ind w:left="303" w:right="296"/>
              <w:jc w:val="center"/>
              <w:rPr>
                <w:sz w:val="18"/>
              </w:rPr>
            </w:pPr>
            <w:r>
              <w:rPr>
                <w:sz w:val="18"/>
              </w:rPr>
              <w:t>地址</w:t>
            </w:r>
          </w:p>
        </w:tc>
        <w:tc>
          <w:tcPr>
            <w:tcW w:w="2537" w:type="dxa"/>
            <w:gridSpan w:val="2"/>
          </w:tcPr>
          <w:p>
            <w:pPr>
              <w:pStyle w:val="TableParagraph"/>
              <w:spacing w:before="12"/>
              <w:rPr>
                <w:rFonts w:ascii="楷体"/>
                <w:sz w:val="20"/>
              </w:rPr>
            </w:pPr>
          </w:p>
          <w:p>
            <w:pPr>
              <w:pStyle w:val="TableParagraph"/>
              <w:ind w:left="886" w:right="881"/>
              <w:jc w:val="center"/>
              <w:rPr>
                <w:sz w:val="18"/>
              </w:rPr>
            </w:pPr>
            <w:r>
              <w:rPr>
                <w:sz w:val="18"/>
              </w:rPr>
              <w:t>法人代表</w:t>
            </w:r>
          </w:p>
        </w:tc>
        <w:tc>
          <w:tcPr>
            <w:tcW w:w="1557" w:type="dxa"/>
          </w:tcPr>
          <w:p>
            <w:pPr>
              <w:pStyle w:val="TableParagraph"/>
              <w:spacing w:before="12"/>
              <w:rPr>
                <w:rFonts w:ascii="楷体"/>
                <w:sz w:val="20"/>
              </w:rPr>
            </w:pPr>
          </w:p>
          <w:p>
            <w:pPr>
              <w:pStyle w:val="TableParagraph"/>
              <w:ind w:left="125" w:right="119"/>
              <w:jc w:val="center"/>
              <w:rPr>
                <w:sz w:val="18"/>
              </w:rPr>
            </w:pPr>
            <w:r>
              <w:rPr>
                <w:sz w:val="18"/>
              </w:rPr>
              <w:t>企业性质</w:t>
            </w:r>
          </w:p>
        </w:tc>
        <w:tc>
          <w:tcPr>
            <w:tcW w:w="1289" w:type="dxa"/>
          </w:tcPr>
          <w:p>
            <w:pPr>
              <w:pStyle w:val="TableParagraph"/>
              <w:spacing w:before="12"/>
              <w:rPr>
                <w:rFonts w:ascii="楷体"/>
                <w:sz w:val="20"/>
              </w:rPr>
            </w:pPr>
          </w:p>
          <w:p>
            <w:pPr>
              <w:pStyle w:val="TableParagraph"/>
              <w:ind w:left="263" w:right="256"/>
              <w:jc w:val="center"/>
              <w:rPr>
                <w:sz w:val="18"/>
              </w:rPr>
            </w:pPr>
            <w:r>
              <w:rPr>
                <w:sz w:val="18"/>
              </w:rPr>
              <w:t>资质等级</w:t>
            </w:r>
          </w:p>
        </w:tc>
        <w:tc>
          <w:tcPr>
            <w:tcW w:w="1423" w:type="dxa"/>
          </w:tcPr>
          <w:p>
            <w:pPr>
              <w:pStyle w:val="TableParagraph"/>
              <w:spacing w:before="12"/>
              <w:rPr>
                <w:rFonts w:ascii="楷体"/>
                <w:sz w:val="20"/>
              </w:rPr>
            </w:pPr>
          </w:p>
          <w:p>
            <w:pPr>
              <w:pStyle w:val="TableParagraph"/>
              <w:ind w:left="151" w:right="141"/>
              <w:jc w:val="center"/>
              <w:rPr>
                <w:sz w:val="18"/>
              </w:rPr>
            </w:pPr>
            <w:r>
              <w:rPr>
                <w:sz w:val="18"/>
              </w:rPr>
              <w:t>资质有效期</w:t>
            </w:r>
          </w:p>
        </w:tc>
      </w:tr>
      <w:tr>
        <w:trPr>
          <w:trHeight w:val="1120" w:hRule="atLeast"/>
        </w:trPr>
        <w:tc>
          <w:tcPr>
            <w:tcW w:w="1424" w:type="dxa"/>
          </w:tcPr>
          <w:p>
            <w:pPr>
              <w:pStyle w:val="TableParagraph"/>
              <w:spacing w:line="560" w:lineRule="exact" w:before="3"/>
              <w:ind w:left="441" w:right="161" w:hanging="272"/>
              <w:rPr>
                <w:sz w:val="18"/>
              </w:rPr>
            </w:pPr>
            <w:r>
              <w:rPr>
                <w:sz w:val="18"/>
              </w:rPr>
              <w:t>与营业执照名称一致</w:t>
            </w:r>
          </w:p>
        </w:tc>
        <w:tc>
          <w:tcPr>
            <w:tcW w:w="1729" w:type="dxa"/>
          </w:tcPr>
          <w:p>
            <w:pPr>
              <w:pStyle w:val="TableParagraph"/>
              <w:rPr>
                <w:rFonts w:ascii="楷体"/>
                <w:sz w:val="18"/>
              </w:rPr>
            </w:pPr>
          </w:p>
          <w:p>
            <w:pPr>
              <w:pStyle w:val="TableParagraph"/>
              <w:spacing w:before="11"/>
              <w:rPr>
                <w:rFonts w:ascii="楷体"/>
                <w:sz w:val="24"/>
              </w:rPr>
            </w:pPr>
          </w:p>
          <w:p>
            <w:pPr>
              <w:pStyle w:val="TableParagraph"/>
              <w:ind w:left="303" w:right="296"/>
              <w:jc w:val="center"/>
              <w:rPr>
                <w:sz w:val="18"/>
              </w:rPr>
            </w:pPr>
            <w:r>
              <w:rPr>
                <w:sz w:val="18"/>
              </w:rPr>
              <w:t>填写注册地址</w:t>
            </w:r>
          </w:p>
        </w:tc>
        <w:tc>
          <w:tcPr>
            <w:tcW w:w="2537" w:type="dxa"/>
            <w:gridSpan w:val="2"/>
          </w:tcPr>
          <w:p>
            <w:pPr>
              <w:pStyle w:val="TableParagraph"/>
              <w:rPr>
                <w:rFonts w:ascii="楷体"/>
                <w:sz w:val="18"/>
              </w:rPr>
            </w:pPr>
          </w:p>
          <w:p>
            <w:pPr>
              <w:pStyle w:val="TableParagraph"/>
              <w:spacing w:before="11"/>
              <w:rPr>
                <w:rFonts w:ascii="楷体"/>
                <w:sz w:val="24"/>
              </w:rPr>
            </w:pPr>
          </w:p>
          <w:p>
            <w:pPr>
              <w:pStyle w:val="TableParagraph"/>
              <w:ind w:left="886" w:right="879"/>
              <w:jc w:val="center"/>
              <w:rPr>
                <w:sz w:val="18"/>
              </w:rPr>
            </w:pPr>
            <w:r>
              <w:rPr>
                <w:sz w:val="18"/>
              </w:rPr>
              <w:t>李××</w:t>
            </w:r>
          </w:p>
        </w:tc>
        <w:tc>
          <w:tcPr>
            <w:tcW w:w="1557" w:type="dxa"/>
          </w:tcPr>
          <w:p>
            <w:pPr>
              <w:pStyle w:val="TableParagraph"/>
              <w:rPr>
                <w:rFonts w:ascii="楷体"/>
                <w:sz w:val="18"/>
              </w:rPr>
            </w:pPr>
          </w:p>
          <w:p>
            <w:pPr>
              <w:pStyle w:val="TableParagraph"/>
              <w:spacing w:before="11"/>
              <w:rPr>
                <w:rFonts w:ascii="楷体"/>
                <w:sz w:val="24"/>
              </w:rPr>
            </w:pPr>
          </w:p>
          <w:p>
            <w:pPr>
              <w:pStyle w:val="TableParagraph"/>
              <w:ind w:left="125" w:right="121"/>
              <w:jc w:val="center"/>
              <w:rPr>
                <w:sz w:val="18"/>
              </w:rPr>
            </w:pPr>
            <w:r>
              <w:rPr>
                <w:sz w:val="18"/>
              </w:rPr>
              <w:t>与营业执照一致</w:t>
            </w:r>
          </w:p>
        </w:tc>
        <w:tc>
          <w:tcPr>
            <w:tcW w:w="1289" w:type="dxa"/>
          </w:tcPr>
          <w:p>
            <w:pPr>
              <w:pStyle w:val="TableParagraph"/>
              <w:rPr>
                <w:rFonts w:ascii="楷体"/>
                <w:sz w:val="18"/>
              </w:rPr>
            </w:pPr>
          </w:p>
          <w:p>
            <w:pPr>
              <w:pStyle w:val="TableParagraph"/>
              <w:spacing w:before="11"/>
              <w:rPr>
                <w:rFonts w:ascii="楷体"/>
                <w:sz w:val="24"/>
              </w:rPr>
            </w:pPr>
          </w:p>
          <w:p>
            <w:pPr>
              <w:pStyle w:val="TableParagraph"/>
              <w:ind w:left="263" w:right="256"/>
              <w:jc w:val="center"/>
              <w:rPr>
                <w:sz w:val="18"/>
              </w:rPr>
            </w:pPr>
            <w:r>
              <w:rPr>
                <w:sz w:val="18"/>
              </w:rPr>
              <w:t>×级</w:t>
            </w:r>
          </w:p>
        </w:tc>
        <w:tc>
          <w:tcPr>
            <w:tcW w:w="1423" w:type="dxa"/>
          </w:tcPr>
          <w:p>
            <w:pPr>
              <w:pStyle w:val="TableParagraph"/>
              <w:spacing w:before="1"/>
              <w:rPr>
                <w:rFonts w:ascii="楷体"/>
                <w:sz w:val="21"/>
              </w:rPr>
            </w:pPr>
          </w:p>
          <w:p>
            <w:pPr>
              <w:pStyle w:val="TableParagraph"/>
              <w:spacing w:before="1"/>
              <w:ind w:left="151" w:right="141"/>
              <w:jc w:val="center"/>
              <w:rPr>
                <w:sz w:val="18"/>
              </w:rPr>
            </w:pPr>
            <w:r>
              <w:rPr>
                <w:sz w:val="18"/>
              </w:rPr>
              <w:t>20××年××</w:t>
            </w:r>
          </w:p>
          <w:p>
            <w:pPr>
              <w:pStyle w:val="TableParagraph"/>
              <w:spacing w:before="8"/>
              <w:rPr>
                <w:rFonts w:ascii="楷体"/>
                <w:sz w:val="25"/>
              </w:rPr>
            </w:pPr>
          </w:p>
          <w:p>
            <w:pPr>
              <w:pStyle w:val="TableParagraph"/>
              <w:ind w:left="149" w:right="141"/>
              <w:jc w:val="center"/>
              <w:rPr>
                <w:sz w:val="18"/>
              </w:rPr>
            </w:pPr>
            <w:r>
              <w:rPr>
                <w:sz w:val="18"/>
              </w:rPr>
              <w:t>月××日</w:t>
            </w:r>
          </w:p>
        </w:tc>
      </w:tr>
      <w:tr>
        <w:trPr>
          <w:trHeight w:val="625" w:hRule="atLeast"/>
        </w:trPr>
        <w:tc>
          <w:tcPr>
            <w:tcW w:w="9959" w:type="dxa"/>
            <w:gridSpan w:val="7"/>
          </w:tcPr>
          <w:p>
            <w:pPr>
              <w:pStyle w:val="TableParagraph"/>
              <w:spacing w:before="7"/>
              <w:rPr>
                <w:rFonts w:ascii="楷体"/>
                <w:sz w:val="23"/>
              </w:rPr>
            </w:pPr>
          </w:p>
          <w:p>
            <w:pPr>
              <w:pStyle w:val="TableParagraph"/>
              <w:ind w:left="107"/>
              <w:rPr>
                <w:sz w:val="18"/>
              </w:rPr>
            </w:pPr>
            <w:r>
              <w:rPr>
                <w:sz w:val="18"/>
              </w:rPr>
              <w:t>二、建设项目总情况</w:t>
            </w:r>
          </w:p>
        </w:tc>
      </w:tr>
      <w:tr>
        <w:trPr>
          <w:trHeight w:val="1121" w:hRule="atLeast"/>
        </w:trPr>
        <w:tc>
          <w:tcPr>
            <w:tcW w:w="1424" w:type="dxa"/>
          </w:tcPr>
          <w:p>
            <w:pPr>
              <w:pStyle w:val="TableParagraph"/>
              <w:rPr>
                <w:rFonts w:ascii="楷体"/>
                <w:sz w:val="18"/>
              </w:rPr>
            </w:pPr>
          </w:p>
          <w:p>
            <w:pPr>
              <w:pStyle w:val="TableParagraph"/>
              <w:spacing w:before="11"/>
              <w:rPr>
                <w:rFonts w:ascii="楷体"/>
                <w:sz w:val="24"/>
              </w:rPr>
            </w:pPr>
          </w:p>
          <w:p>
            <w:pPr>
              <w:pStyle w:val="TableParagraph"/>
              <w:spacing w:before="1"/>
              <w:ind w:left="150" w:right="144"/>
              <w:jc w:val="center"/>
              <w:rPr>
                <w:sz w:val="18"/>
              </w:rPr>
            </w:pPr>
            <w:r>
              <w:rPr>
                <w:sz w:val="18"/>
              </w:rPr>
              <w:t>建设项目名称</w:t>
            </w:r>
          </w:p>
        </w:tc>
        <w:tc>
          <w:tcPr>
            <w:tcW w:w="1729" w:type="dxa"/>
          </w:tcPr>
          <w:p>
            <w:pPr>
              <w:pStyle w:val="TableParagraph"/>
              <w:spacing w:line="562" w:lineRule="exact"/>
              <w:ind w:left="323" w:right="133" w:hanging="180"/>
              <w:rPr>
                <w:sz w:val="18"/>
              </w:rPr>
            </w:pPr>
            <w:r>
              <w:rPr>
                <w:sz w:val="18"/>
              </w:rPr>
              <w:t>与建设工程规划许可证名称一致</w:t>
            </w:r>
          </w:p>
        </w:tc>
        <w:tc>
          <w:tcPr>
            <w:tcW w:w="2537" w:type="dxa"/>
            <w:gridSpan w:val="2"/>
          </w:tcPr>
          <w:p>
            <w:pPr>
              <w:pStyle w:val="TableParagraph"/>
              <w:rPr>
                <w:rFonts w:ascii="楷体"/>
                <w:sz w:val="18"/>
              </w:rPr>
            </w:pPr>
          </w:p>
          <w:p>
            <w:pPr>
              <w:pStyle w:val="TableParagraph"/>
              <w:spacing w:before="11"/>
              <w:rPr>
                <w:rFonts w:ascii="楷体"/>
                <w:sz w:val="24"/>
              </w:rPr>
            </w:pPr>
          </w:p>
          <w:p>
            <w:pPr>
              <w:pStyle w:val="TableParagraph"/>
              <w:spacing w:before="1"/>
              <w:ind w:left="817"/>
              <w:rPr>
                <w:sz w:val="18"/>
              </w:rPr>
            </w:pPr>
            <w:r>
              <w:rPr>
                <w:sz w:val="18"/>
              </w:rPr>
              <w:t>项目推广名</w:t>
            </w:r>
          </w:p>
        </w:tc>
        <w:tc>
          <w:tcPr>
            <w:tcW w:w="4269" w:type="dxa"/>
            <w:gridSpan w:val="3"/>
          </w:tcPr>
          <w:p>
            <w:pPr>
              <w:pStyle w:val="TableParagraph"/>
              <w:rPr>
                <w:rFonts w:ascii="Times New Roman"/>
                <w:sz w:val="18"/>
              </w:rPr>
            </w:pPr>
          </w:p>
        </w:tc>
      </w:tr>
      <w:tr>
        <w:trPr>
          <w:trHeight w:val="579" w:hRule="atLeast"/>
        </w:trPr>
        <w:tc>
          <w:tcPr>
            <w:tcW w:w="1424" w:type="dxa"/>
          </w:tcPr>
          <w:p>
            <w:pPr>
              <w:pStyle w:val="TableParagraph"/>
              <w:spacing w:before="8"/>
              <w:rPr>
                <w:rFonts w:ascii="楷体"/>
                <w:sz w:val="21"/>
              </w:rPr>
            </w:pPr>
          </w:p>
          <w:p>
            <w:pPr>
              <w:pStyle w:val="TableParagraph"/>
              <w:ind w:left="150" w:right="143"/>
              <w:jc w:val="center"/>
              <w:rPr>
                <w:sz w:val="18"/>
              </w:rPr>
            </w:pPr>
            <w:r>
              <w:rPr>
                <w:sz w:val="18"/>
              </w:rPr>
              <w:t>项目座落</w:t>
            </w:r>
          </w:p>
        </w:tc>
        <w:tc>
          <w:tcPr>
            <w:tcW w:w="8535" w:type="dxa"/>
            <w:gridSpan w:val="6"/>
          </w:tcPr>
          <w:p>
            <w:pPr>
              <w:pStyle w:val="TableParagraph"/>
              <w:spacing w:before="8"/>
              <w:rPr>
                <w:rFonts w:ascii="楷体"/>
                <w:sz w:val="21"/>
              </w:rPr>
            </w:pPr>
          </w:p>
          <w:p>
            <w:pPr>
              <w:pStyle w:val="TableParagraph"/>
              <w:ind w:left="107"/>
              <w:rPr>
                <w:sz w:val="18"/>
              </w:rPr>
            </w:pPr>
            <w:r>
              <w:rPr>
                <w:sz w:val="18"/>
              </w:rPr>
              <w:t>与建设工程规划许可证位置信息一致</w:t>
            </w:r>
          </w:p>
        </w:tc>
      </w:tr>
      <w:tr>
        <w:trPr>
          <w:trHeight w:val="585" w:hRule="atLeast"/>
        </w:trPr>
        <w:tc>
          <w:tcPr>
            <w:tcW w:w="9959" w:type="dxa"/>
            <w:gridSpan w:val="7"/>
          </w:tcPr>
          <w:p>
            <w:pPr>
              <w:pStyle w:val="TableParagraph"/>
              <w:spacing w:before="11"/>
              <w:rPr>
                <w:rFonts w:ascii="楷体"/>
                <w:sz w:val="21"/>
              </w:rPr>
            </w:pPr>
          </w:p>
          <w:p>
            <w:pPr>
              <w:pStyle w:val="TableParagraph"/>
              <w:ind w:left="107"/>
              <w:rPr>
                <w:sz w:val="18"/>
              </w:rPr>
            </w:pPr>
            <w:r>
              <w:rPr>
                <w:sz w:val="18"/>
              </w:rPr>
              <w:t>三、本次申请预售房情况</w:t>
            </w:r>
          </w:p>
        </w:tc>
      </w:tr>
      <w:tr>
        <w:trPr>
          <w:trHeight w:val="666" w:hRule="atLeast"/>
        </w:trPr>
        <w:tc>
          <w:tcPr>
            <w:tcW w:w="1424" w:type="dxa"/>
          </w:tcPr>
          <w:p>
            <w:pPr>
              <w:pStyle w:val="TableParagraph"/>
              <w:spacing w:before="1"/>
              <w:rPr>
                <w:rFonts w:ascii="楷体"/>
                <w:sz w:val="25"/>
              </w:rPr>
            </w:pPr>
          </w:p>
          <w:p>
            <w:pPr>
              <w:pStyle w:val="TableParagraph"/>
              <w:ind w:left="150" w:right="144"/>
              <w:jc w:val="center"/>
              <w:rPr>
                <w:sz w:val="18"/>
              </w:rPr>
            </w:pPr>
            <w:r>
              <w:rPr>
                <w:sz w:val="18"/>
              </w:rPr>
              <w:t>工程规划证号</w:t>
            </w:r>
          </w:p>
        </w:tc>
        <w:tc>
          <w:tcPr>
            <w:tcW w:w="2845" w:type="dxa"/>
            <w:gridSpan w:val="2"/>
          </w:tcPr>
          <w:p>
            <w:pPr>
              <w:pStyle w:val="TableParagraph"/>
              <w:spacing w:before="1"/>
              <w:rPr>
                <w:rFonts w:ascii="楷体"/>
                <w:sz w:val="25"/>
              </w:rPr>
            </w:pPr>
          </w:p>
          <w:p>
            <w:pPr>
              <w:pStyle w:val="TableParagraph"/>
              <w:ind w:left="107"/>
              <w:rPr>
                <w:sz w:val="18"/>
              </w:rPr>
            </w:pPr>
            <w:r>
              <w:rPr>
                <w:sz w:val="18"/>
              </w:rPr>
              <w:t>建字第 3713............</w:t>
            </w:r>
          </w:p>
        </w:tc>
        <w:tc>
          <w:tcPr>
            <w:tcW w:w="1421" w:type="dxa"/>
          </w:tcPr>
          <w:p>
            <w:pPr>
              <w:pStyle w:val="TableParagraph"/>
              <w:spacing w:before="1"/>
              <w:rPr>
                <w:rFonts w:ascii="楷体"/>
                <w:sz w:val="25"/>
              </w:rPr>
            </w:pPr>
          </w:p>
          <w:p>
            <w:pPr>
              <w:pStyle w:val="TableParagraph"/>
              <w:ind w:left="240" w:right="230"/>
              <w:jc w:val="center"/>
              <w:rPr>
                <w:sz w:val="18"/>
              </w:rPr>
            </w:pPr>
            <w:r>
              <w:rPr>
                <w:sz w:val="18"/>
              </w:rPr>
              <w:t>总建筑面积</w:t>
            </w:r>
          </w:p>
        </w:tc>
        <w:tc>
          <w:tcPr>
            <w:tcW w:w="4269" w:type="dxa"/>
            <w:gridSpan w:val="3"/>
          </w:tcPr>
          <w:p>
            <w:pPr>
              <w:pStyle w:val="TableParagraph"/>
              <w:spacing w:before="1"/>
              <w:rPr>
                <w:rFonts w:ascii="楷体"/>
                <w:sz w:val="25"/>
              </w:rPr>
            </w:pPr>
          </w:p>
          <w:p>
            <w:pPr>
              <w:pStyle w:val="TableParagraph"/>
              <w:ind w:left="198"/>
              <w:rPr>
                <w:sz w:val="18"/>
              </w:rPr>
            </w:pPr>
            <w:r>
              <w:rPr>
                <w:sz w:val="18"/>
              </w:rPr>
              <w:t>××㎡</w:t>
            </w:r>
          </w:p>
        </w:tc>
      </w:tr>
      <w:tr>
        <w:trPr>
          <w:trHeight w:val="594" w:hRule="atLeast"/>
        </w:trPr>
        <w:tc>
          <w:tcPr>
            <w:tcW w:w="1424" w:type="dxa"/>
          </w:tcPr>
          <w:p>
            <w:pPr>
              <w:pStyle w:val="TableParagraph"/>
              <w:spacing w:before="5"/>
              <w:rPr>
                <w:rFonts w:ascii="楷体"/>
                <w:sz w:val="22"/>
              </w:rPr>
            </w:pPr>
          </w:p>
          <w:p>
            <w:pPr>
              <w:pStyle w:val="TableParagraph"/>
              <w:spacing w:before="1"/>
              <w:ind w:left="150" w:right="144"/>
              <w:jc w:val="center"/>
              <w:rPr>
                <w:sz w:val="18"/>
              </w:rPr>
            </w:pPr>
            <w:r>
              <w:rPr>
                <w:sz w:val="18"/>
              </w:rPr>
              <w:t>土地使用证号</w:t>
            </w:r>
          </w:p>
        </w:tc>
        <w:tc>
          <w:tcPr>
            <w:tcW w:w="2845" w:type="dxa"/>
            <w:gridSpan w:val="2"/>
          </w:tcPr>
          <w:p>
            <w:pPr>
              <w:pStyle w:val="TableParagraph"/>
              <w:spacing w:before="5"/>
              <w:rPr>
                <w:rFonts w:ascii="楷体"/>
                <w:sz w:val="22"/>
              </w:rPr>
            </w:pPr>
          </w:p>
          <w:p>
            <w:pPr>
              <w:pStyle w:val="TableParagraph"/>
              <w:spacing w:before="1"/>
              <w:ind w:left="107"/>
              <w:rPr>
                <w:sz w:val="18"/>
              </w:rPr>
            </w:pPr>
            <w:r>
              <w:rPr>
                <w:sz w:val="18"/>
              </w:rPr>
              <w:t>鲁 20××郯城不动产权第××号</w:t>
            </w:r>
          </w:p>
        </w:tc>
        <w:tc>
          <w:tcPr>
            <w:tcW w:w="1421" w:type="dxa"/>
          </w:tcPr>
          <w:p>
            <w:pPr>
              <w:pStyle w:val="TableParagraph"/>
              <w:spacing w:before="5"/>
              <w:rPr>
                <w:rFonts w:ascii="楷体"/>
                <w:sz w:val="22"/>
              </w:rPr>
            </w:pPr>
          </w:p>
          <w:p>
            <w:pPr>
              <w:pStyle w:val="TableParagraph"/>
              <w:spacing w:before="1"/>
              <w:ind w:left="240" w:right="230"/>
              <w:jc w:val="center"/>
              <w:rPr>
                <w:sz w:val="18"/>
              </w:rPr>
            </w:pPr>
            <w:r>
              <w:rPr>
                <w:sz w:val="18"/>
              </w:rPr>
              <w:t>施工许可证</w:t>
            </w:r>
          </w:p>
        </w:tc>
        <w:tc>
          <w:tcPr>
            <w:tcW w:w="4269" w:type="dxa"/>
            <w:gridSpan w:val="3"/>
          </w:tcPr>
          <w:p>
            <w:pPr>
              <w:pStyle w:val="TableParagraph"/>
              <w:spacing w:before="5"/>
              <w:rPr>
                <w:rFonts w:ascii="楷体"/>
                <w:sz w:val="22"/>
              </w:rPr>
            </w:pPr>
          </w:p>
          <w:p>
            <w:pPr>
              <w:pStyle w:val="TableParagraph"/>
              <w:spacing w:before="1"/>
              <w:ind w:left="107"/>
              <w:rPr>
                <w:sz w:val="18"/>
              </w:rPr>
            </w:pPr>
            <w:r>
              <w:rPr>
                <w:sz w:val="18"/>
              </w:rPr>
              <w:t>3713............</w:t>
            </w:r>
          </w:p>
        </w:tc>
      </w:tr>
      <w:tr>
        <w:trPr>
          <w:trHeight w:val="585" w:hRule="atLeast"/>
        </w:trPr>
        <w:tc>
          <w:tcPr>
            <w:tcW w:w="1424" w:type="dxa"/>
          </w:tcPr>
          <w:p>
            <w:pPr>
              <w:pStyle w:val="TableParagraph"/>
              <w:spacing w:before="11"/>
              <w:rPr>
                <w:rFonts w:ascii="楷体"/>
                <w:sz w:val="21"/>
              </w:rPr>
            </w:pPr>
          </w:p>
          <w:p>
            <w:pPr>
              <w:pStyle w:val="TableParagraph"/>
              <w:ind w:left="150" w:right="143"/>
              <w:jc w:val="center"/>
              <w:rPr>
                <w:sz w:val="18"/>
              </w:rPr>
            </w:pPr>
            <w:r>
              <w:rPr>
                <w:sz w:val="18"/>
              </w:rPr>
              <w:t>开工日期</w:t>
            </w:r>
          </w:p>
        </w:tc>
        <w:tc>
          <w:tcPr>
            <w:tcW w:w="2845" w:type="dxa"/>
            <w:gridSpan w:val="2"/>
          </w:tcPr>
          <w:p>
            <w:pPr>
              <w:pStyle w:val="TableParagraph"/>
              <w:spacing w:before="11"/>
              <w:rPr>
                <w:rFonts w:ascii="楷体"/>
                <w:sz w:val="21"/>
              </w:rPr>
            </w:pPr>
          </w:p>
          <w:p>
            <w:pPr>
              <w:pStyle w:val="TableParagraph"/>
              <w:ind w:left="107"/>
              <w:rPr>
                <w:sz w:val="18"/>
              </w:rPr>
            </w:pPr>
            <w:r>
              <w:rPr>
                <w:sz w:val="18"/>
              </w:rPr>
              <w:t>20××年××月××日</w:t>
            </w:r>
          </w:p>
        </w:tc>
        <w:tc>
          <w:tcPr>
            <w:tcW w:w="1421" w:type="dxa"/>
          </w:tcPr>
          <w:p>
            <w:pPr>
              <w:pStyle w:val="TableParagraph"/>
              <w:spacing w:before="11"/>
              <w:rPr>
                <w:rFonts w:ascii="楷体"/>
                <w:sz w:val="21"/>
              </w:rPr>
            </w:pPr>
          </w:p>
          <w:p>
            <w:pPr>
              <w:pStyle w:val="TableParagraph"/>
              <w:ind w:left="237" w:right="230"/>
              <w:jc w:val="center"/>
              <w:rPr>
                <w:sz w:val="18"/>
              </w:rPr>
            </w:pPr>
            <w:r>
              <w:rPr>
                <w:sz w:val="18"/>
              </w:rPr>
              <w:t>竣工日期</w:t>
            </w:r>
          </w:p>
        </w:tc>
        <w:tc>
          <w:tcPr>
            <w:tcW w:w="4269" w:type="dxa"/>
            <w:gridSpan w:val="3"/>
          </w:tcPr>
          <w:p>
            <w:pPr>
              <w:pStyle w:val="TableParagraph"/>
              <w:spacing w:before="11"/>
              <w:rPr>
                <w:rFonts w:ascii="楷体"/>
                <w:sz w:val="21"/>
              </w:rPr>
            </w:pPr>
          </w:p>
          <w:p>
            <w:pPr>
              <w:pStyle w:val="TableParagraph"/>
              <w:ind w:left="107"/>
              <w:rPr>
                <w:sz w:val="18"/>
              </w:rPr>
            </w:pPr>
            <w:r>
              <w:rPr>
                <w:sz w:val="18"/>
              </w:rPr>
              <w:t>20××年××月××日</w:t>
            </w:r>
          </w:p>
        </w:tc>
      </w:tr>
      <w:tr>
        <w:trPr>
          <w:trHeight w:val="561" w:hRule="atLeast"/>
        </w:trPr>
        <w:tc>
          <w:tcPr>
            <w:tcW w:w="1424" w:type="dxa"/>
            <w:vMerge w:val="restart"/>
          </w:tcPr>
          <w:p>
            <w:pPr>
              <w:pStyle w:val="TableParagraph"/>
              <w:rPr>
                <w:rFonts w:ascii="楷体"/>
                <w:sz w:val="18"/>
              </w:rPr>
            </w:pPr>
          </w:p>
          <w:p>
            <w:pPr>
              <w:pStyle w:val="TableParagraph"/>
              <w:spacing w:before="3"/>
              <w:rPr>
                <w:rFonts w:ascii="楷体"/>
                <w:sz w:val="25"/>
              </w:rPr>
            </w:pPr>
          </w:p>
          <w:p>
            <w:pPr>
              <w:pStyle w:val="TableParagraph"/>
              <w:ind w:left="170"/>
              <w:rPr>
                <w:sz w:val="18"/>
              </w:rPr>
            </w:pPr>
            <w:r>
              <w:rPr>
                <w:sz w:val="18"/>
              </w:rPr>
              <w:t>申请预售楼号</w:t>
            </w:r>
          </w:p>
        </w:tc>
        <w:tc>
          <w:tcPr>
            <w:tcW w:w="2845" w:type="dxa"/>
            <w:gridSpan w:val="2"/>
            <w:vMerge w:val="restart"/>
          </w:tcPr>
          <w:p>
            <w:pPr>
              <w:pStyle w:val="TableParagraph"/>
              <w:rPr>
                <w:rFonts w:ascii="楷体"/>
                <w:sz w:val="18"/>
              </w:rPr>
            </w:pPr>
          </w:p>
          <w:p>
            <w:pPr>
              <w:pStyle w:val="TableParagraph"/>
              <w:spacing w:before="3"/>
              <w:rPr>
                <w:rFonts w:ascii="楷体"/>
                <w:sz w:val="25"/>
              </w:rPr>
            </w:pPr>
          </w:p>
          <w:p>
            <w:pPr>
              <w:pStyle w:val="TableParagraph"/>
              <w:ind w:left="107"/>
              <w:rPr>
                <w:sz w:val="18"/>
              </w:rPr>
            </w:pPr>
            <w:r>
              <w:rPr>
                <w:sz w:val="18"/>
              </w:rPr>
              <w:t>与测绘报告楼号一致</w:t>
            </w:r>
          </w:p>
        </w:tc>
        <w:tc>
          <w:tcPr>
            <w:tcW w:w="1421" w:type="dxa"/>
          </w:tcPr>
          <w:p>
            <w:pPr>
              <w:pStyle w:val="TableParagraph"/>
              <w:spacing w:before="12"/>
              <w:rPr>
                <w:rFonts w:ascii="楷体"/>
                <w:sz w:val="20"/>
              </w:rPr>
            </w:pPr>
          </w:p>
          <w:p>
            <w:pPr>
              <w:pStyle w:val="TableParagraph"/>
              <w:ind w:left="237" w:right="230"/>
              <w:jc w:val="center"/>
              <w:rPr>
                <w:sz w:val="18"/>
              </w:rPr>
            </w:pPr>
            <w:r>
              <w:rPr>
                <w:sz w:val="18"/>
              </w:rPr>
              <w:t>栋数</w:t>
            </w:r>
          </w:p>
        </w:tc>
        <w:tc>
          <w:tcPr>
            <w:tcW w:w="4269" w:type="dxa"/>
            <w:gridSpan w:val="3"/>
          </w:tcPr>
          <w:p>
            <w:pPr>
              <w:pStyle w:val="TableParagraph"/>
              <w:spacing w:before="12"/>
              <w:rPr>
                <w:rFonts w:ascii="楷体"/>
                <w:sz w:val="20"/>
              </w:rPr>
            </w:pPr>
          </w:p>
          <w:p>
            <w:pPr>
              <w:pStyle w:val="TableParagraph"/>
              <w:ind w:left="198"/>
              <w:rPr>
                <w:sz w:val="18"/>
              </w:rPr>
            </w:pPr>
            <w:r>
              <w:rPr>
                <w:sz w:val="18"/>
              </w:rPr>
              <w:t>××栋</w:t>
            </w:r>
          </w:p>
        </w:tc>
      </w:tr>
      <w:tr>
        <w:trPr>
          <w:trHeight w:val="558" w:hRule="atLeast"/>
        </w:trPr>
        <w:tc>
          <w:tcPr>
            <w:tcW w:w="1424" w:type="dxa"/>
            <w:vMerge/>
            <w:tcBorders>
              <w:top w:val="nil"/>
            </w:tcBorders>
          </w:tcPr>
          <w:p>
            <w:pPr>
              <w:rPr>
                <w:sz w:val="2"/>
                <w:szCs w:val="2"/>
              </w:rPr>
            </w:pPr>
          </w:p>
        </w:tc>
        <w:tc>
          <w:tcPr>
            <w:tcW w:w="2845" w:type="dxa"/>
            <w:gridSpan w:val="2"/>
            <w:vMerge/>
            <w:tcBorders>
              <w:top w:val="nil"/>
            </w:tcBorders>
          </w:tcPr>
          <w:p>
            <w:pPr>
              <w:rPr>
                <w:sz w:val="2"/>
                <w:szCs w:val="2"/>
              </w:rPr>
            </w:pPr>
          </w:p>
        </w:tc>
        <w:tc>
          <w:tcPr>
            <w:tcW w:w="1421" w:type="dxa"/>
          </w:tcPr>
          <w:p>
            <w:pPr>
              <w:pStyle w:val="TableParagraph"/>
              <w:spacing w:before="12"/>
              <w:rPr>
                <w:rFonts w:ascii="楷体"/>
                <w:sz w:val="20"/>
              </w:rPr>
            </w:pPr>
          </w:p>
          <w:p>
            <w:pPr>
              <w:pStyle w:val="TableParagraph"/>
              <w:ind w:left="237" w:right="230"/>
              <w:jc w:val="center"/>
              <w:rPr>
                <w:sz w:val="18"/>
              </w:rPr>
            </w:pPr>
            <w:r>
              <w:rPr>
                <w:sz w:val="18"/>
              </w:rPr>
              <w:t>套数</w:t>
            </w:r>
          </w:p>
        </w:tc>
        <w:tc>
          <w:tcPr>
            <w:tcW w:w="4269" w:type="dxa"/>
            <w:gridSpan w:val="3"/>
          </w:tcPr>
          <w:p>
            <w:pPr>
              <w:pStyle w:val="TableParagraph"/>
              <w:spacing w:before="12"/>
              <w:rPr>
                <w:rFonts w:ascii="楷体"/>
                <w:sz w:val="20"/>
              </w:rPr>
            </w:pPr>
          </w:p>
          <w:p>
            <w:pPr>
              <w:pStyle w:val="TableParagraph"/>
              <w:ind w:left="198"/>
              <w:rPr>
                <w:sz w:val="18"/>
              </w:rPr>
            </w:pPr>
            <w:r>
              <w:rPr>
                <w:sz w:val="18"/>
              </w:rPr>
              <w:t>××套</w:t>
            </w:r>
          </w:p>
        </w:tc>
      </w:tr>
      <w:tr>
        <w:trPr>
          <w:trHeight w:val="671" w:hRule="atLeast"/>
        </w:trPr>
        <w:tc>
          <w:tcPr>
            <w:tcW w:w="1424" w:type="dxa"/>
            <w:vMerge w:val="restart"/>
          </w:tcPr>
          <w:p>
            <w:pPr>
              <w:pStyle w:val="TableParagraph"/>
              <w:rPr>
                <w:rFonts w:ascii="楷体"/>
                <w:sz w:val="18"/>
              </w:rPr>
            </w:pPr>
          </w:p>
          <w:p>
            <w:pPr>
              <w:pStyle w:val="TableParagraph"/>
              <w:rPr>
                <w:rFonts w:ascii="楷体"/>
                <w:sz w:val="18"/>
              </w:rPr>
            </w:pPr>
          </w:p>
          <w:p>
            <w:pPr>
              <w:pStyle w:val="TableParagraph"/>
              <w:spacing w:before="150"/>
              <w:ind w:left="350"/>
              <w:rPr>
                <w:sz w:val="18"/>
              </w:rPr>
            </w:pPr>
            <w:r>
              <w:rPr>
                <w:sz w:val="18"/>
              </w:rPr>
              <w:t>预售面积</w:t>
            </w:r>
          </w:p>
        </w:tc>
        <w:tc>
          <w:tcPr>
            <w:tcW w:w="1729" w:type="dxa"/>
          </w:tcPr>
          <w:p>
            <w:pPr>
              <w:pStyle w:val="TableParagraph"/>
              <w:spacing w:before="5"/>
              <w:rPr>
                <w:rFonts w:ascii="楷体"/>
                <w:sz w:val="25"/>
              </w:rPr>
            </w:pPr>
          </w:p>
          <w:p>
            <w:pPr>
              <w:pStyle w:val="TableParagraph"/>
              <w:spacing w:before="1"/>
              <w:ind w:left="303" w:right="296"/>
              <w:jc w:val="center"/>
              <w:rPr>
                <w:sz w:val="18"/>
              </w:rPr>
            </w:pPr>
            <w:r>
              <w:rPr>
                <w:sz w:val="18"/>
              </w:rPr>
              <w:t>合计</w:t>
            </w:r>
          </w:p>
        </w:tc>
        <w:tc>
          <w:tcPr>
            <w:tcW w:w="1116" w:type="dxa"/>
          </w:tcPr>
          <w:p>
            <w:pPr>
              <w:pStyle w:val="TableParagraph"/>
              <w:spacing w:before="5"/>
              <w:rPr>
                <w:rFonts w:ascii="楷体"/>
                <w:sz w:val="25"/>
              </w:rPr>
            </w:pPr>
          </w:p>
          <w:p>
            <w:pPr>
              <w:pStyle w:val="TableParagraph"/>
              <w:spacing w:before="1"/>
              <w:ind w:left="175" w:right="170"/>
              <w:jc w:val="center"/>
              <w:rPr>
                <w:sz w:val="18"/>
              </w:rPr>
            </w:pPr>
            <w:r>
              <w:rPr>
                <w:sz w:val="18"/>
              </w:rPr>
              <w:t>住宅面积</w:t>
            </w:r>
          </w:p>
        </w:tc>
        <w:tc>
          <w:tcPr>
            <w:tcW w:w="1421" w:type="dxa"/>
          </w:tcPr>
          <w:p>
            <w:pPr>
              <w:pStyle w:val="TableParagraph"/>
              <w:spacing w:before="5"/>
              <w:rPr>
                <w:rFonts w:ascii="楷体"/>
                <w:sz w:val="25"/>
              </w:rPr>
            </w:pPr>
          </w:p>
          <w:p>
            <w:pPr>
              <w:pStyle w:val="TableParagraph"/>
              <w:spacing w:before="1"/>
              <w:ind w:left="237" w:right="230"/>
              <w:jc w:val="center"/>
              <w:rPr>
                <w:sz w:val="18"/>
              </w:rPr>
            </w:pPr>
            <w:r>
              <w:rPr>
                <w:sz w:val="18"/>
              </w:rPr>
              <w:t>商业面积</w:t>
            </w:r>
          </w:p>
        </w:tc>
        <w:tc>
          <w:tcPr>
            <w:tcW w:w="1557" w:type="dxa"/>
          </w:tcPr>
          <w:p>
            <w:pPr>
              <w:pStyle w:val="TableParagraph"/>
              <w:spacing w:before="5"/>
              <w:rPr>
                <w:rFonts w:ascii="楷体"/>
                <w:sz w:val="25"/>
              </w:rPr>
            </w:pPr>
          </w:p>
          <w:p>
            <w:pPr>
              <w:pStyle w:val="TableParagraph"/>
              <w:spacing w:before="1"/>
              <w:ind w:left="125" w:right="119"/>
              <w:jc w:val="center"/>
              <w:rPr>
                <w:sz w:val="18"/>
              </w:rPr>
            </w:pPr>
            <w:r>
              <w:rPr>
                <w:sz w:val="18"/>
              </w:rPr>
              <w:t>车库面积</w:t>
            </w:r>
          </w:p>
        </w:tc>
        <w:tc>
          <w:tcPr>
            <w:tcW w:w="1289" w:type="dxa"/>
          </w:tcPr>
          <w:p>
            <w:pPr>
              <w:pStyle w:val="TableParagraph"/>
              <w:spacing w:before="5"/>
              <w:rPr>
                <w:rFonts w:ascii="楷体"/>
                <w:sz w:val="25"/>
              </w:rPr>
            </w:pPr>
          </w:p>
          <w:p>
            <w:pPr>
              <w:pStyle w:val="TableParagraph"/>
              <w:spacing w:before="1"/>
              <w:ind w:left="263" w:right="256"/>
              <w:jc w:val="center"/>
              <w:rPr>
                <w:sz w:val="18"/>
              </w:rPr>
            </w:pPr>
            <w:r>
              <w:rPr>
                <w:sz w:val="18"/>
              </w:rPr>
              <w:t>办公面积</w:t>
            </w:r>
          </w:p>
        </w:tc>
        <w:tc>
          <w:tcPr>
            <w:tcW w:w="1423" w:type="dxa"/>
          </w:tcPr>
          <w:p>
            <w:pPr>
              <w:pStyle w:val="TableParagraph"/>
              <w:spacing w:before="5"/>
              <w:rPr>
                <w:rFonts w:ascii="楷体"/>
                <w:sz w:val="25"/>
              </w:rPr>
            </w:pPr>
          </w:p>
          <w:p>
            <w:pPr>
              <w:pStyle w:val="TableParagraph"/>
              <w:spacing w:before="1"/>
              <w:ind w:left="149" w:right="141"/>
              <w:jc w:val="center"/>
              <w:rPr>
                <w:sz w:val="18"/>
              </w:rPr>
            </w:pPr>
            <w:r>
              <w:rPr>
                <w:sz w:val="18"/>
              </w:rPr>
              <w:t>其他面积</w:t>
            </w:r>
          </w:p>
        </w:tc>
      </w:tr>
      <w:tr>
        <w:trPr>
          <w:trHeight w:val="561" w:hRule="atLeast"/>
        </w:trPr>
        <w:tc>
          <w:tcPr>
            <w:tcW w:w="1424" w:type="dxa"/>
            <w:vMerge/>
            <w:tcBorders>
              <w:top w:val="nil"/>
            </w:tcBorders>
          </w:tcPr>
          <w:p>
            <w:pPr>
              <w:rPr>
                <w:sz w:val="2"/>
                <w:szCs w:val="2"/>
              </w:rPr>
            </w:pPr>
          </w:p>
        </w:tc>
        <w:tc>
          <w:tcPr>
            <w:tcW w:w="1729" w:type="dxa"/>
          </w:tcPr>
          <w:p>
            <w:pPr>
              <w:pStyle w:val="TableParagraph"/>
              <w:spacing w:before="12"/>
              <w:rPr>
                <w:rFonts w:ascii="楷体"/>
                <w:sz w:val="20"/>
              </w:rPr>
            </w:pPr>
          </w:p>
          <w:p>
            <w:pPr>
              <w:pStyle w:val="TableParagraph"/>
              <w:ind w:left="301" w:right="296"/>
              <w:jc w:val="center"/>
              <w:rPr>
                <w:sz w:val="18"/>
              </w:rPr>
            </w:pPr>
            <w:r>
              <w:rPr>
                <w:sz w:val="18"/>
              </w:rPr>
              <w:t>××㎡</w:t>
            </w:r>
          </w:p>
        </w:tc>
        <w:tc>
          <w:tcPr>
            <w:tcW w:w="1116" w:type="dxa"/>
          </w:tcPr>
          <w:p>
            <w:pPr>
              <w:pStyle w:val="TableParagraph"/>
              <w:spacing w:before="12"/>
              <w:rPr>
                <w:rFonts w:ascii="楷体"/>
                <w:sz w:val="20"/>
              </w:rPr>
            </w:pPr>
          </w:p>
          <w:p>
            <w:pPr>
              <w:pStyle w:val="TableParagraph"/>
              <w:ind w:left="175" w:right="167"/>
              <w:jc w:val="center"/>
              <w:rPr>
                <w:sz w:val="18"/>
              </w:rPr>
            </w:pPr>
            <w:r>
              <w:rPr>
                <w:sz w:val="18"/>
              </w:rPr>
              <w:t>××㎡</w:t>
            </w:r>
          </w:p>
        </w:tc>
        <w:tc>
          <w:tcPr>
            <w:tcW w:w="1421" w:type="dxa"/>
          </w:tcPr>
          <w:p>
            <w:pPr>
              <w:pStyle w:val="TableParagraph"/>
              <w:spacing w:before="12"/>
              <w:rPr>
                <w:rFonts w:ascii="楷体"/>
                <w:sz w:val="20"/>
              </w:rPr>
            </w:pPr>
          </w:p>
          <w:p>
            <w:pPr>
              <w:pStyle w:val="TableParagraph"/>
              <w:ind w:left="240" w:right="230"/>
              <w:jc w:val="center"/>
              <w:rPr>
                <w:sz w:val="18"/>
              </w:rPr>
            </w:pPr>
            <w:r>
              <w:rPr>
                <w:sz w:val="18"/>
              </w:rPr>
              <w:t>××㎡</w:t>
            </w:r>
          </w:p>
        </w:tc>
        <w:tc>
          <w:tcPr>
            <w:tcW w:w="1557" w:type="dxa"/>
          </w:tcPr>
          <w:p>
            <w:pPr>
              <w:pStyle w:val="TableParagraph"/>
              <w:spacing w:before="12"/>
              <w:rPr>
                <w:rFonts w:ascii="楷体"/>
                <w:sz w:val="20"/>
              </w:rPr>
            </w:pPr>
          </w:p>
          <w:p>
            <w:pPr>
              <w:pStyle w:val="TableParagraph"/>
              <w:ind w:left="125" w:right="121"/>
              <w:jc w:val="center"/>
              <w:rPr>
                <w:sz w:val="18"/>
              </w:rPr>
            </w:pPr>
            <w:r>
              <w:rPr>
                <w:sz w:val="18"/>
              </w:rPr>
              <w:t>××㎡</w:t>
            </w:r>
          </w:p>
        </w:tc>
        <w:tc>
          <w:tcPr>
            <w:tcW w:w="1289" w:type="dxa"/>
          </w:tcPr>
          <w:p>
            <w:pPr>
              <w:pStyle w:val="TableParagraph"/>
              <w:spacing w:before="12"/>
              <w:rPr>
                <w:rFonts w:ascii="楷体"/>
                <w:sz w:val="20"/>
              </w:rPr>
            </w:pPr>
          </w:p>
          <w:p>
            <w:pPr>
              <w:pStyle w:val="TableParagraph"/>
              <w:ind w:left="263" w:right="254"/>
              <w:jc w:val="center"/>
              <w:rPr>
                <w:sz w:val="18"/>
              </w:rPr>
            </w:pPr>
            <w:r>
              <w:rPr>
                <w:sz w:val="18"/>
              </w:rPr>
              <w:t>××㎡</w:t>
            </w:r>
          </w:p>
        </w:tc>
        <w:tc>
          <w:tcPr>
            <w:tcW w:w="1423" w:type="dxa"/>
          </w:tcPr>
          <w:p>
            <w:pPr>
              <w:pStyle w:val="TableParagraph"/>
              <w:spacing w:before="12"/>
              <w:rPr>
                <w:rFonts w:ascii="楷体"/>
                <w:sz w:val="20"/>
              </w:rPr>
            </w:pPr>
          </w:p>
          <w:p>
            <w:pPr>
              <w:pStyle w:val="TableParagraph"/>
              <w:ind w:left="151" w:right="141"/>
              <w:jc w:val="center"/>
              <w:rPr>
                <w:sz w:val="18"/>
              </w:rPr>
            </w:pPr>
            <w:r>
              <w:rPr>
                <w:sz w:val="18"/>
              </w:rPr>
              <w:t>××㎡</w:t>
            </w:r>
          </w:p>
        </w:tc>
      </w:tr>
      <w:tr>
        <w:trPr>
          <w:trHeight w:val="697" w:hRule="atLeast"/>
        </w:trPr>
        <w:tc>
          <w:tcPr>
            <w:tcW w:w="1424" w:type="dxa"/>
            <w:vMerge w:val="restart"/>
            <w:tcBorders>
              <w:bottom w:val="single" w:sz="6" w:space="0" w:color="000000"/>
            </w:tcBorders>
          </w:tcPr>
          <w:p>
            <w:pPr>
              <w:pStyle w:val="TableParagraph"/>
              <w:rPr>
                <w:rFonts w:ascii="楷体"/>
                <w:sz w:val="18"/>
              </w:rPr>
            </w:pPr>
          </w:p>
          <w:p>
            <w:pPr>
              <w:pStyle w:val="TableParagraph"/>
              <w:rPr>
                <w:rFonts w:ascii="楷体"/>
                <w:sz w:val="18"/>
              </w:rPr>
            </w:pPr>
          </w:p>
          <w:p>
            <w:pPr>
              <w:pStyle w:val="TableParagraph"/>
              <w:spacing w:before="3"/>
              <w:rPr>
                <w:rFonts w:ascii="楷体"/>
                <w:sz w:val="13"/>
              </w:rPr>
            </w:pPr>
          </w:p>
          <w:p>
            <w:pPr>
              <w:pStyle w:val="TableParagraph"/>
              <w:ind w:left="350"/>
              <w:rPr>
                <w:sz w:val="18"/>
              </w:rPr>
            </w:pPr>
            <w:r>
              <w:rPr>
                <w:sz w:val="18"/>
              </w:rPr>
              <w:t>预售套数</w:t>
            </w:r>
          </w:p>
        </w:tc>
        <w:tc>
          <w:tcPr>
            <w:tcW w:w="1729" w:type="dxa"/>
          </w:tcPr>
          <w:p>
            <w:pPr>
              <w:pStyle w:val="TableParagraph"/>
              <w:spacing w:before="5"/>
              <w:rPr>
                <w:rFonts w:ascii="楷体"/>
                <w:sz w:val="26"/>
              </w:rPr>
            </w:pPr>
          </w:p>
          <w:p>
            <w:pPr>
              <w:pStyle w:val="TableParagraph"/>
              <w:ind w:left="303" w:right="296"/>
              <w:jc w:val="center"/>
              <w:rPr>
                <w:sz w:val="18"/>
              </w:rPr>
            </w:pPr>
            <w:r>
              <w:rPr>
                <w:sz w:val="18"/>
              </w:rPr>
              <w:t>合计</w:t>
            </w:r>
          </w:p>
        </w:tc>
        <w:tc>
          <w:tcPr>
            <w:tcW w:w="1116" w:type="dxa"/>
          </w:tcPr>
          <w:p>
            <w:pPr>
              <w:pStyle w:val="TableParagraph"/>
              <w:spacing w:before="5"/>
              <w:rPr>
                <w:rFonts w:ascii="楷体"/>
                <w:sz w:val="26"/>
              </w:rPr>
            </w:pPr>
          </w:p>
          <w:p>
            <w:pPr>
              <w:pStyle w:val="TableParagraph"/>
              <w:ind w:left="175" w:right="170"/>
              <w:jc w:val="center"/>
              <w:rPr>
                <w:sz w:val="18"/>
              </w:rPr>
            </w:pPr>
            <w:r>
              <w:rPr>
                <w:sz w:val="18"/>
              </w:rPr>
              <w:t>住宅套数</w:t>
            </w:r>
          </w:p>
        </w:tc>
        <w:tc>
          <w:tcPr>
            <w:tcW w:w="1421" w:type="dxa"/>
          </w:tcPr>
          <w:p>
            <w:pPr>
              <w:pStyle w:val="TableParagraph"/>
              <w:spacing w:before="5"/>
              <w:rPr>
                <w:rFonts w:ascii="楷体"/>
                <w:sz w:val="26"/>
              </w:rPr>
            </w:pPr>
          </w:p>
          <w:p>
            <w:pPr>
              <w:pStyle w:val="TableParagraph"/>
              <w:ind w:left="237" w:right="230"/>
              <w:jc w:val="center"/>
              <w:rPr>
                <w:sz w:val="18"/>
              </w:rPr>
            </w:pPr>
            <w:r>
              <w:rPr>
                <w:sz w:val="18"/>
              </w:rPr>
              <w:t>商业套数</w:t>
            </w:r>
          </w:p>
        </w:tc>
        <w:tc>
          <w:tcPr>
            <w:tcW w:w="1557" w:type="dxa"/>
          </w:tcPr>
          <w:p>
            <w:pPr>
              <w:pStyle w:val="TableParagraph"/>
              <w:spacing w:before="5"/>
              <w:rPr>
                <w:rFonts w:ascii="楷体"/>
                <w:sz w:val="26"/>
              </w:rPr>
            </w:pPr>
          </w:p>
          <w:p>
            <w:pPr>
              <w:pStyle w:val="TableParagraph"/>
              <w:ind w:left="125" w:right="119"/>
              <w:jc w:val="center"/>
              <w:rPr>
                <w:sz w:val="18"/>
              </w:rPr>
            </w:pPr>
            <w:r>
              <w:rPr>
                <w:sz w:val="18"/>
              </w:rPr>
              <w:t>车库套数</w:t>
            </w:r>
          </w:p>
        </w:tc>
        <w:tc>
          <w:tcPr>
            <w:tcW w:w="1289" w:type="dxa"/>
          </w:tcPr>
          <w:p>
            <w:pPr>
              <w:pStyle w:val="TableParagraph"/>
              <w:spacing w:before="5"/>
              <w:rPr>
                <w:rFonts w:ascii="楷体"/>
                <w:sz w:val="26"/>
              </w:rPr>
            </w:pPr>
          </w:p>
          <w:p>
            <w:pPr>
              <w:pStyle w:val="TableParagraph"/>
              <w:ind w:left="263" w:right="256"/>
              <w:jc w:val="center"/>
              <w:rPr>
                <w:sz w:val="18"/>
              </w:rPr>
            </w:pPr>
            <w:r>
              <w:rPr>
                <w:sz w:val="18"/>
              </w:rPr>
              <w:t>办公套数</w:t>
            </w:r>
          </w:p>
        </w:tc>
        <w:tc>
          <w:tcPr>
            <w:tcW w:w="1423" w:type="dxa"/>
          </w:tcPr>
          <w:p>
            <w:pPr>
              <w:pStyle w:val="TableParagraph"/>
              <w:spacing w:before="5"/>
              <w:rPr>
                <w:rFonts w:ascii="楷体"/>
                <w:sz w:val="26"/>
              </w:rPr>
            </w:pPr>
          </w:p>
          <w:p>
            <w:pPr>
              <w:pStyle w:val="TableParagraph"/>
              <w:ind w:left="149" w:right="141"/>
              <w:jc w:val="center"/>
              <w:rPr>
                <w:sz w:val="18"/>
              </w:rPr>
            </w:pPr>
            <w:r>
              <w:rPr>
                <w:sz w:val="18"/>
              </w:rPr>
              <w:t>其他套数</w:t>
            </w:r>
          </w:p>
        </w:tc>
      </w:tr>
      <w:tr>
        <w:trPr>
          <w:trHeight w:val="568" w:hRule="atLeast"/>
        </w:trPr>
        <w:tc>
          <w:tcPr>
            <w:tcW w:w="1424" w:type="dxa"/>
            <w:vMerge/>
            <w:tcBorders>
              <w:top w:val="nil"/>
              <w:bottom w:val="single" w:sz="6" w:space="0" w:color="000000"/>
            </w:tcBorders>
          </w:tcPr>
          <w:p>
            <w:pPr>
              <w:rPr>
                <w:sz w:val="2"/>
                <w:szCs w:val="2"/>
              </w:rPr>
            </w:pPr>
          </w:p>
        </w:tc>
        <w:tc>
          <w:tcPr>
            <w:tcW w:w="1729" w:type="dxa"/>
            <w:tcBorders>
              <w:bottom w:val="single" w:sz="6" w:space="0" w:color="000000"/>
            </w:tcBorders>
          </w:tcPr>
          <w:p>
            <w:pPr>
              <w:pStyle w:val="TableParagraph"/>
              <w:spacing w:before="4"/>
              <w:rPr>
                <w:rFonts w:ascii="楷体"/>
                <w:sz w:val="21"/>
              </w:rPr>
            </w:pPr>
          </w:p>
          <w:p>
            <w:pPr>
              <w:pStyle w:val="TableParagraph"/>
              <w:ind w:left="303" w:right="296"/>
              <w:jc w:val="center"/>
              <w:rPr>
                <w:sz w:val="18"/>
              </w:rPr>
            </w:pPr>
            <w:r>
              <w:rPr>
                <w:sz w:val="18"/>
              </w:rPr>
              <w:t>××</w:t>
            </w:r>
          </w:p>
        </w:tc>
        <w:tc>
          <w:tcPr>
            <w:tcW w:w="1116" w:type="dxa"/>
            <w:tcBorders>
              <w:bottom w:val="single" w:sz="6" w:space="0" w:color="000000"/>
            </w:tcBorders>
          </w:tcPr>
          <w:p>
            <w:pPr>
              <w:pStyle w:val="TableParagraph"/>
              <w:spacing w:before="4"/>
              <w:rPr>
                <w:rFonts w:ascii="楷体"/>
                <w:sz w:val="21"/>
              </w:rPr>
            </w:pPr>
          </w:p>
          <w:p>
            <w:pPr>
              <w:pStyle w:val="TableParagraph"/>
              <w:ind w:left="175" w:right="170"/>
              <w:jc w:val="center"/>
              <w:rPr>
                <w:sz w:val="18"/>
              </w:rPr>
            </w:pPr>
            <w:r>
              <w:rPr>
                <w:sz w:val="18"/>
              </w:rPr>
              <w:t>××</w:t>
            </w:r>
          </w:p>
        </w:tc>
        <w:tc>
          <w:tcPr>
            <w:tcW w:w="1421" w:type="dxa"/>
            <w:tcBorders>
              <w:bottom w:val="single" w:sz="6" w:space="0" w:color="000000"/>
            </w:tcBorders>
          </w:tcPr>
          <w:p>
            <w:pPr>
              <w:pStyle w:val="TableParagraph"/>
              <w:spacing w:before="4"/>
              <w:rPr>
                <w:rFonts w:ascii="楷体"/>
                <w:sz w:val="21"/>
              </w:rPr>
            </w:pPr>
          </w:p>
          <w:p>
            <w:pPr>
              <w:pStyle w:val="TableParagraph"/>
              <w:ind w:left="237" w:right="230"/>
              <w:jc w:val="center"/>
              <w:rPr>
                <w:sz w:val="18"/>
              </w:rPr>
            </w:pPr>
            <w:r>
              <w:rPr>
                <w:sz w:val="18"/>
              </w:rPr>
              <w:t>××</w:t>
            </w:r>
          </w:p>
        </w:tc>
        <w:tc>
          <w:tcPr>
            <w:tcW w:w="1557" w:type="dxa"/>
            <w:tcBorders>
              <w:bottom w:val="single" w:sz="6" w:space="0" w:color="000000"/>
            </w:tcBorders>
          </w:tcPr>
          <w:p>
            <w:pPr>
              <w:pStyle w:val="TableParagraph"/>
              <w:spacing w:before="4"/>
              <w:rPr>
                <w:rFonts w:ascii="楷体"/>
                <w:sz w:val="21"/>
              </w:rPr>
            </w:pPr>
          </w:p>
          <w:p>
            <w:pPr>
              <w:pStyle w:val="TableParagraph"/>
              <w:ind w:left="125" w:right="119"/>
              <w:jc w:val="center"/>
              <w:rPr>
                <w:sz w:val="18"/>
              </w:rPr>
            </w:pPr>
            <w:r>
              <w:rPr>
                <w:sz w:val="18"/>
              </w:rPr>
              <w:t>××</w:t>
            </w:r>
          </w:p>
        </w:tc>
        <w:tc>
          <w:tcPr>
            <w:tcW w:w="1289" w:type="dxa"/>
            <w:tcBorders>
              <w:bottom w:val="single" w:sz="6" w:space="0" w:color="000000"/>
            </w:tcBorders>
          </w:tcPr>
          <w:p>
            <w:pPr>
              <w:pStyle w:val="TableParagraph"/>
              <w:spacing w:before="4"/>
              <w:rPr>
                <w:rFonts w:ascii="楷体"/>
                <w:sz w:val="21"/>
              </w:rPr>
            </w:pPr>
          </w:p>
          <w:p>
            <w:pPr>
              <w:pStyle w:val="TableParagraph"/>
              <w:ind w:left="263" w:right="256"/>
              <w:jc w:val="center"/>
              <w:rPr>
                <w:sz w:val="18"/>
              </w:rPr>
            </w:pPr>
            <w:r>
              <w:rPr>
                <w:sz w:val="18"/>
              </w:rPr>
              <w:t>××</w:t>
            </w:r>
          </w:p>
        </w:tc>
        <w:tc>
          <w:tcPr>
            <w:tcW w:w="1423" w:type="dxa"/>
            <w:tcBorders>
              <w:bottom w:val="single" w:sz="6" w:space="0" w:color="000000"/>
            </w:tcBorders>
          </w:tcPr>
          <w:p>
            <w:pPr>
              <w:pStyle w:val="TableParagraph"/>
              <w:spacing w:before="4"/>
              <w:rPr>
                <w:rFonts w:ascii="楷体"/>
                <w:sz w:val="21"/>
              </w:rPr>
            </w:pPr>
          </w:p>
          <w:p>
            <w:pPr>
              <w:pStyle w:val="TableParagraph"/>
              <w:ind w:left="149" w:right="141"/>
              <w:jc w:val="center"/>
              <w:rPr>
                <w:sz w:val="18"/>
              </w:rPr>
            </w:pPr>
            <w:r>
              <w:rPr>
                <w:sz w:val="18"/>
              </w:rPr>
              <w:t>××</w:t>
            </w:r>
          </w:p>
        </w:tc>
      </w:tr>
      <w:tr>
        <w:trPr>
          <w:trHeight w:val="1590" w:hRule="atLeast"/>
        </w:trPr>
        <w:tc>
          <w:tcPr>
            <w:tcW w:w="9959" w:type="dxa"/>
            <w:gridSpan w:val="7"/>
            <w:tcBorders>
              <w:top w:val="single" w:sz="6" w:space="0" w:color="000000"/>
            </w:tcBorders>
          </w:tcPr>
          <w:p>
            <w:pPr>
              <w:pStyle w:val="TableParagraph"/>
              <w:spacing w:before="5"/>
              <w:rPr>
                <w:rFonts w:ascii="楷体"/>
                <w:sz w:val="13"/>
              </w:rPr>
            </w:pPr>
          </w:p>
          <w:p>
            <w:pPr>
              <w:pStyle w:val="TableParagraph"/>
              <w:tabs>
                <w:tab w:pos="561" w:val="left" w:leader="none"/>
                <w:tab w:pos="1010" w:val="left" w:leader="none"/>
              </w:tabs>
              <w:spacing w:line="560" w:lineRule="atLeast"/>
              <w:ind w:left="107" w:right="8310"/>
              <w:rPr>
                <w:sz w:val="18"/>
              </w:rPr>
            </w:pPr>
            <w:r>
              <w:rPr>
                <w:sz w:val="18"/>
              </w:rPr>
              <w:t>申请单位</w:t>
            </w:r>
            <w:r>
              <w:rPr>
                <w:spacing w:val="-92"/>
                <w:sz w:val="18"/>
              </w:rPr>
              <w:t>：</w:t>
            </w:r>
            <w:r>
              <w:rPr>
                <w:sz w:val="18"/>
              </w:rPr>
              <w:t>（公章</w:t>
            </w:r>
            <w:r>
              <w:rPr>
                <w:spacing w:val="-16"/>
                <w:sz w:val="18"/>
              </w:rPr>
              <w:t>）</w:t>
            </w:r>
            <w:r>
              <w:rPr>
                <w:sz w:val="18"/>
              </w:rPr>
              <w:t>年</w:t>
              <w:tab/>
              <w:t>月</w:t>
              <w:tab/>
              <w:t>日</w:t>
            </w:r>
          </w:p>
        </w:tc>
      </w:tr>
    </w:tbl>
    <w:p>
      <w:pPr>
        <w:spacing w:after="0" w:line="560" w:lineRule="atLeast"/>
        <w:rPr>
          <w:sz w:val="18"/>
        </w:rPr>
        <w:sectPr>
          <w:type w:val="continuous"/>
          <w:pgSz w:w="11910" w:h="16840"/>
          <w:pgMar w:top="1600" w:bottom="280" w:left="860" w:right="620"/>
        </w:sectPr>
      </w:pPr>
    </w:p>
    <w:p>
      <w:pPr>
        <w:pStyle w:val="BodyText"/>
        <w:spacing w:line="548" w:lineRule="exact" w:before="0"/>
        <w:ind w:left="877" w:right="1153"/>
        <w:jc w:val="center"/>
        <w:rPr>
          <w:rFonts w:ascii="方正小标宋简体" w:eastAsia="方正小标宋简体" w:hint="eastAsia"/>
        </w:rPr>
      </w:pPr>
      <w:r>
        <w:rPr>
          <w:rFonts w:ascii="方正小标宋简体" w:eastAsia="方正小标宋简体" w:hint="eastAsia"/>
        </w:rPr>
        <w:t>结果文书样本（商品房预售许可证明核发）</w:t>
      </w:r>
    </w:p>
    <w:p>
      <w:pPr>
        <w:pStyle w:val="BodyText"/>
        <w:spacing w:before="0"/>
        <w:rPr>
          <w:rFonts w:ascii="方正小标宋简体"/>
          <w:sz w:val="20"/>
        </w:rPr>
      </w:pPr>
    </w:p>
    <w:p>
      <w:pPr>
        <w:pStyle w:val="BodyText"/>
        <w:spacing w:before="14"/>
        <w:rPr>
          <w:rFonts w:ascii="方正小标宋简体"/>
          <w:sz w:val="12"/>
        </w:rPr>
      </w:pPr>
      <w:r>
        <w:rPr/>
        <w:drawing>
          <wp:anchor distT="0" distB="0" distL="0" distR="0" allowOverlap="1" layoutInCell="1" locked="0" behindDoc="0" simplePos="0" relativeHeight="0">
            <wp:simplePos x="0" y="0"/>
            <wp:positionH relativeFrom="page">
              <wp:posOffset>919480</wp:posOffset>
            </wp:positionH>
            <wp:positionV relativeFrom="paragraph">
              <wp:posOffset>168842</wp:posOffset>
            </wp:positionV>
            <wp:extent cx="6200336" cy="4205573"/>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9" cstate="print"/>
                    <a:stretch>
                      <a:fillRect/>
                    </a:stretch>
                  </pic:blipFill>
                  <pic:spPr>
                    <a:xfrm>
                      <a:off x="0" y="0"/>
                      <a:ext cx="6200336" cy="4205573"/>
                    </a:xfrm>
                    <a:prstGeom prst="rect">
                      <a:avLst/>
                    </a:prstGeom>
                  </pic:spPr>
                </pic:pic>
              </a:graphicData>
            </a:graphic>
          </wp:anchor>
        </w:drawing>
      </w:r>
    </w:p>
    <w:p>
      <w:pPr>
        <w:pStyle w:val="BodyText"/>
        <w:spacing w:line="328" w:lineRule="auto" w:before="209"/>
        <w:ind w:left="558" w:right="837"/>
        <w:jc w:val="both"/>
        <w:rPr>
          <w:rFonts w:ascii="仿宋_GB2312" w:hAnsi="仿宋_GB2312" w:eastAsia="仿宋_GB2312" w:hint="eastAsia"/>
        </w:rPr>
      </w:pPr>
      <w:r>
        <w:rPr>
          <w:rFonts w:ascii="仿宋_GB2312" w:hAnsi="仿宋_GB2312" w:eastAsia="仿宋_GB2312" w:hint="eastAsia"/>
          <w:spacing w:val="-17"/>
          <w:w w:val="99"/>
        </w:rPr>
        <w:t>注：“一次办好”清单中的表单内容，这里仅列举了申请表单和办</w:t>
      </w:r>
      <w:r>
        <w:rPr>
          <w:rFonts w:ascii="仿宋_GB2312" w:hAnsi="仿宋_GB2312" w:eastAsia="仿宋_GB2312" w:hint="eastAsia"/>
        </w:rPr>
        <w:t>理结果样本，办理政务服务事项过程中涉及到的其它表格，各级</w:t>
      </w:r>
      <w:r>
        <w:rPr>
          <w:rFonts w:ascii="仿宋_GB2312" w:hAnsi="仿宋_GB2312" w:eastAsia="仿宋_GB2312" w:hint="eastAsia"/>
          <w:spacing w:val="-8"/>
        </w:rPr>
        <w:t>各部门、单位也要统一规范，这里不再一一列举。</w:t>
      </w:r>
      <w:r>
        <w:rPr>
          <w:rFonts w:ascii="仿宋_GB2312" w:hAnsi="仿宋_GB2312" w:eastAsia="仿宋_GB2312" w:hint="eastAsia"/>
        </w:rPr>
        <w:t>）</w:t>
      </w:r>
    </w:p>
    <w:p>
      <w:pPr>
        <w:spacing w:after="0" w:line="328" w:lineRule="auto"/>
        <w:jc w:val="both"/>
        <w:rPr>
          <w:rFonts w:ascii="仿宋_GB2312" w:hAnsi="仿宋_GB2312" w:eastAsia="仿宋_GB2312" w:hint="eastAsia"/>
        </w:rPr>
        <w:sectPr>
          <w:pgSz w:w="11910" w:h="16840"/>
          <w:pgMar w:header="0" w:footer="1613" w:top="1200" w:bottom="1880" w:left="860" w:right="620"/>
        </w:sectPr>
      </w:pPr>
    </w:p>
    <w:p>
      <w:pPr>
        <w:pStyle w:val="BodyText"/>
        <w:spacing w:before="43"/>
        <w:ind w:left="558"/>
        <w:rPr>
          <w:rFonts w:ascii="黑体" w:eastAsia="黑体" w:hint="eastAsia"/>
        </w:rPr>
      </w:pPr>
      <w:r>
        <w:rPr/>
        <w:pict>
          <v:shape style="position:absolute;margin-left:48.48pt;margin-top:112.699982pt;width:498.7pt;height:622.65pt;mso-position-horizontal-relative:page;mso-position-vertical-relative:page;z-index:251659264"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1831"/>
                    <w:gridCol w:w="3476"/>
                    <w:gridCol w:w="1992"/>
                    <w:gridCol w:w="1991"/>
                  </w:tblGrid>
                  <w:tr>
                    <w:trPr>
                      <w:trHeight w:val="561" w:hRule="atLeast"/>
                    </w:trPr>
                    <w:tc>
                      <w:tcPr>
                        <w:tcW w:w="668" w:type="dxa"/>
                      </w:tcPr>
                      <w:p>
                        <w:pPr>
                          <w:pStyle w:val="TableParagraph"/>
                          <w:spacing w:before="3"/>
                          <w:rPr>
                            <w:rFonts w:ascii="方正小标宋简体"/>
                            <w:sz w:val="15"/>
                          </w:rPr>
                        </w:pPr>
                      </w:p>
                      <w:p>
                        <w:pPr>
                          <w:pStyle w:val="TableParagraph"/>
                          <w:ind w:left="7"/>
                          <w:jc w:val="center"/>
                          <w:rPr>
                            <w:sz w:val="18"/>
                          </w:rPr>
                        </w:pPr>
                        <w:r>
                          <w:rPr>
                            <w:sz w:val="18"/>
                          </w:rPr>
                          <w:t>1</w:t>
                        </w:r>
                      </w:p>
                    </w:tc>
                    <w:tc>
                      <w:tcPr>
                        <w:tcW w:w="1831" w:type="dxa"/>
                      </w:tcPr>
                      <w:p>
                        <w:pPr>
                          <w:pStyle w:val="TableParagraph"/>
                          <w:spacing w:before="3"/>
                          <w:rPr>
                            <w:rFonts w:ascii="方正小标宋简体"/>
                            <w:sz w:val="15"/>
                          </w:rPr>
                        </w:pPr>
                      </w:p>
                      <w:p>
                        <w:pPr>
                          <w:pStyle w:val="TableParagraph"/>
                          <w:ind w:left="553"/>
                          <w:rPr>
                            <w:sz w:val="18"/>
                          </w:rPr>
                        </w:pPr>
                        <w:r>
                          <w:rPr>
                            <w:sz w:val="18"/>
                          </w:rPr>
                          <w:t>事项名称</w:t>
                        </w:r>
                      </w:p>
                    </w:tc>
                    <w:tc>
                      <w:tcPr>
                        <w:tcW w:w="7459" w:type="dxa"/>
                        <w:gridSpan w:val="3"/>
                      </w:tcPr>
                      <w:p>
                        <w:pPr>
                          <w:pStyle w:val="TableParagraph"/>
                          <w:spacing w:before="3"/>
                          <w:rPr>
                            <w:rFonts w:ascii="方正小标宋简体"/>
                            <w:sz w:val="15"/>
                          </w:rPr>
                        </w:pPr>
                      </w:p>
                      <w:p>
                        <w:pPr>
                          <w:pStyle w:val="TableParagraph"/>
                          <w:ind w:left="107"/>
                          <w:rPr>
                            <w:sz w:val="18"/>
                          </w:rPr>
                        </w:pPr>
                        <w:r>
                          <w:rPr>
                            <w:sz w:val="18"/>
                          </w:rPr>
                          <w:t>商品房预售许可证明核发</w:t>
                        </w:r>
                      </w:p>
                    </w:tc>
                  </w:tr>
                  <w:tr>
                    <w:trPr>
                      <w:trHeight w:val="558" w:hRule="atLeast"/>
                    </w:trPr>
                    <w:tc>
                      <w:tcPr>
                        <w:tcW w:w="668" w:type="dxa"/>
                      </w:tcPr>
                      <w:p>
                        <w:pPr>
                          <w:pStyle w:val="TableParagraph"/>
                          <w:spacing w:before="3"/>
                          <w:rPr>
                            <w:rFonts w:ascii="方正小标宋简体"/>
                            <w:sz w:val="15"/>
                          </w:rPr>
                        </w:pPr>
                      </w:p>
                      <w:p>
                        <w:pPr>
                          <w:pStyle w:val="TableParagraph"/>
                          <w:ind w:left="7"/>
                          <w:jc w:val="center"/>
                          <w:rPr>
                            <w:sz w:val="18"/>
                          </w:rPr>
                        </w:pPr>
                        <w:r>
                          <w:rPr>
                            <w:sz w:val="18"/>
                          </w:rPr>
                          <w:t>2</w:t>
                        </w:r>
                      </w:p>
                    </w:tc>
                    <w:tc>
                      <w:tcPr>
                        <w:tcW w:w="1831" w:type="dxa"/>
                      </w:tcPr>
                      <w:p>
                        <w:pPr>
                          <w:pStyle w:val="TableParagraph"/>
                          <w:spacing w:before="3"/>
                          <w:rPr>
                            <w:rFonts w:ascii="方正小标宋简体"/>
                            <w:sz w:val="15"/>
                          </w:rPr>
                        </w:pPr>
                      </w:p>
                      <w:p>
                        <w:pPr>
                          <w:pStyle w:val="TableParagraph"/>
                          <w:ind w:left="553"/>
                          <w:rPr>
                            <w:sz w:val="18"/>
                          </w:rPr>
                        </w:pPr>
                        <w:r>
                          <w:rPr>
                            <w:sz w:val="18"/>
                          </w:rPr>
                          <w:t>子项名称</w:t>
                        </w:r>
                      </w:p>
                    </w:tc>
                    <w:tc>
                      <w:tcPr>
                        <w:tcW w:w="7459" w:type="dxa"/>
                        <w:gridSpan w:val="3"/>
                      </w:tcPr>
                      <w:p>
                        <w:pPr>
                          <w:pStyle w:val="TableParagraph"/>
                          <w:spacing w:before="3"/>
                          <w:rPr>
                            <w:rFonts w:ascii="方正小标宋简体"/>
                            <w:sz w:val="15"/>
                          </w:rPr>
                        </w:pPr>
                      </w:p>
                      <w:p>
                        <w:pPr>
                          <w:pStyle w:val="TableParagraph"/>
                          <w:ind w:left="107"/>
                          <w:rPr>
                            <w:sz w:val="18"/>
                          </w:rPr>
                        </w:pPr>
                        <w:r>
                          <w:rPr>
                            <w:sz w:val="18"/>
                          </w:rPr>
                          <w:t>商品房预售许可证明核发</w:t>
                        </w:r>
                      </w:p>
                    </w:tc>
                  </w:tr>
                  <w:tr>
                    <w:trPr>
                      <w:trHeight w:val="561" w:hRule="atLeast"/>
                    </w:trPr>
                    <w:tc>
                      <w:tcPr>
                        <w:tcW w:w="668" w:type="dxa"/>
                      </w:tcPr>
                      <w:p>
                        <w:pPr>
                          <w:pStyle w:val="TableParagraph"/>
                          <w:spacing w:before="3"/>
                          <w:rPr>
                            <w:rFonts w:ascii="方正小标宋简体"/>
                            <w:sz w:val="15"/>
                          </w:rPr>
                        </w:pPr>
                      </w:p>
                      <w:p>
                        <w:pPr>
                          <w:pStyle w:val="TableParagraph"/>
                          <w:ind w:left="7"/>
                          <w:jc w:val="center"/>
                          <w:rPr>
                            <w:sz w:val="18"/>
                          </w:rPr>
                        </w:pPr>
                        <w:r>
                          <w:rPr>
                            <w:sz w:val="18"/>
                          </w:rPr>
                          <w:t>3</w:t>
                        </w:r>
                      </w:p>
                    </w:tc>
                    <w:tc>
                      <w:tcPr>
                        <w:tcW w:w="1831" w:type="dxa"/>
                      </w:tcPr>
                      <w:p>
                        <w:pPr>
                          <w:pStyle w:val="TableParagraph"/>
                          <w:spacing w:before="3"/>
                          <w:rPr>
                            <w:rFonts w:ascii="方正小标宋简体"/>
                            <w:sz w:val="15"/>
                          </w:rPr>
                        </w:pPr>
                      </w:p>
                      <w:p>
                        <w:pPr>
                          <w:pStyle w:val="TableParagraph"/>
                          <w:ind w:left="553"/>
                          <w:rPr>
                            <w:sz w:val="18"/>
                          </w:rPr>
                        </w:pPr>
                        <w:r>
                          <w:rPr>
                            <w:sz w:val="18"/>
                          </w:rPr>
                          <w:t>事项类别</w:t>
                        </w:r>
                      </w:p>
                    </w:tc>
                    <w:tc>
                      <w:tcPr>
                        <w:tcW w:w="7459" w:type="dxa"/>
                        <w:gridSpan w:val="3"/>
                      </w:tcPr>
                      <w:p>
                        <w:pPr>
                          <w:pStyle w:val="TableParagraph"/>
                          <w:spacing w:before="3"/>
                          <w:rPr>
                            <w:rFonts w:ascii="方正小标宋简体"/>
                            <w:sz w:val="15"/>
                          </w:rPr>
                        </w:pPr>
                      </w:p>
                      <w:p>
                        <w:pPr>
                          <w:pStyle w:val="TableParagraph"/>
                          <w:ind w:left="107"/>
                          <w:rPr>
                            <w:sz w:val="18"/>
                          </w:rPr>
                        </w:pPr>
                        <w:r>
                          <w:rPr>
                            <w:sz w:val="18"/>
                          </w:rPr>
                          <w:t>行政许可</w:t>
                        </w:r>
                      </w:p>
                    </w:tc>
                  </w:tr>
                  <w:tr>
                    <w:trPr>
                      <w:trHeight w:val="558" w:hRule="atLeast"/>
                    </w:trPr>
                    <w:tc>
                      <w:tcPr>
                        <w:tcW w:w="668" w:type="dxa"/>
                      </w:tcPr>
                      <w:p>
                        <w:pPr>
                          <w:pStyle w:val="TableParagraph"/>
                          <w:spacing w:before="3"/>
                          <w:rPr>
                            <w:rFonts w:ascii="方正小标宋简体"/>
                            <w:sz w:val="15"/>
                          </w:rPr>
                        </w:pPr>
                      </w:p>
                      <w:p>
                        <w:pPr>
                          <w:pStyle w:val="TableParagraph"/>
                          <w:ind w:left="7"/>
                          <w:jc w:val="center"/>
                          <w:rPr>
                            <w:sz w:val="18"/>
                          </w:rPr>
                        </w:pPr>
                        <w:r>
                          <w:rPr>
                            <w:sz w:val="18"/>
                          </w:rPr>
                          <w:t>4</w:t>
                        </w:r>
                      </w:p>
                    </w:tc>
                    <w:tc>
                      <w:tcPr>
                        <w:tcW w:w="1831" w:type="dxa"/>
                      </w:tcPr>
                      <w:p>
                        <w:pPr>
                          <w:pStyle w:val="TableParagraph"/>
                          <w:spacing w:before="3"/>
                          <w:rPr>
                            <w:rFonts w:ascii="方正小标宋简体"/>
                            <w:sz w:val="15"/>
                          </w:rPr>
                        </w:pPr>
                      </w:p>
                      <w:p>
                        <w:pPr>
                          <w:pStyle w:val="TableParagraph"/>
                          <w:ind w:left="553"/>
                          <w:rPr>
                            <w:sz w:val="18"/>
                          </w:rPr>
                        </w:pPr>
                        <w:r>
                          <w:rPr>
                            <w:sz w:val="18"/>
                          </w:rPr>
                          <w:t>事项编码</w:t>
                        </w:r>
                      </w:p>
                    </w:tc>
                    <w:tc>
                      <w:tcPr>
                        <w:tcW w:w="7459" w:type="dxa"/>
                        <w:gridSpan w:val="3"/>
                      </w:tcPr>
                      <w:p>
                        <w:pPr>
                          <w:pStyle w:val="TableParagraph"/>
                          <w:spacing w:before="3"/>
                          <w:rPr>
                            <w:rFonts w:ascii="方正小标宋简体"/>
                            <w:sz w:val="15"/>
                          </w:rPr>
                        </w:pPr>
                      </w:p>
                      <w:p>
                        <w:pPr>
                          <w:pStyle w:val="TableParagraph"/>
                          <w:ind w:left="107"/>
                          <w:rPr>
                            <w:sz w:val="18"/>
                          </w:rPr>
                        </w:pPr>
                        <w:r>
                          <w:rPr>
                            <w:sz w:val="18"/>
                          </w:rPr>
                          <w:t>3713005210101</w:t>
                        </w:r>
                      </w:p>
                    </w:tc>
                  </w:tr>
                  <w:tr>
                    <w:trPr>
                      <w:trHeight w:val="2241" w:hRule="atLeast"/>
                    </w:trPr>
                    <w:tc>
                      <w:tcPr>
                        <w:tcW w:w="668" w:type="dxa"/>
                      </w:tcPr>
                      <w:p>
                        <w:pPr>
                          <w:pStyle w:val="TableParagraph"/>
                          <w:rPr>
                            <w:rFonts w:ascii="方正小标宋简体"/>
                            <w:sz w:val="18"/>
                          </w:rPr>
                        </w:pPr>
                      </w:p>
                      <w:p>
                        <w:pPr>
                          <w:pStyle w:val="TableParagraph"/>
                          <w:rPr>
                            <w:rFonts w:ascii="方正小标宋简体"/>
                            <w:sz w:val="18"/>
                          </w:rPr>
                        </w:pPr>
                      </w:p>
                      <w:p>
                        <w:pPr>
                          <w:pStyle w:val="TableParagraph"/>
                          <w:spacing w:before="12"/>
                          <w:rPr>
                            <w:rFonts w:ascii="方正小标宋简体"/>
                            <w:sz w:val="26"/>
                          </w:rPr>
                        </w:pPr>
                      </w:p>
                      <w:p>
                        <w:pPr>
                          <w:pStyle w:val="TableParagraph"/>
                          <w:ind w:left="7"/>
                          <w:jc w:val="center"/>
                          <w:rPr>
                            <w:sz w:val="18"/>
                          </w:rPr>
                        </w:pPr>
                        <w:r>
                          <w:rPr>
                            <w:sz w:val="18"/>
                          </w:rPr>
                          <w:t>5</w:t>
                        </w:r>
                      </w:p>
                    </w:tc>
                    <w:tc>
                      <w:tcPr>
                        <w:tcW w:w="1831" w:type="dxa"/>
                      </w:tcPr>
                      <w:p>
                        <w:pPr>
                          <w:pStyle w:val="TableParagraph"/>
                          <w:rPr>
                            <w:rFonts w:ascii="方正小标宋简体"/>
                            <w:sz w:val="18"/>
                          </w:rPr>
                        </w:pPr>
                      </w:p>
                      <w:p>
                        <w:pPr>
                          <w:pStyle w:val="TableParagraph"/>
                          <w:rPr>
                            <w:rFonts w:ascii="方正小标宋简体"/>
                            <w:sz w:val="18"/>
                          </w:rPr>
                        </w:pPr>
                      </w:p>
                      <w:p>
                        <w:pPr>
                          <w:pStyle w:val="TableParagraph"/>
                          <w:spacing w:before="12"/>
                          <w:rPr>
                            <w:rFonts w:ascii="方正小标宋简体"/>
                            <w:sz w:val="26"/>
                          </w:rPr>
                        </w:pPr>
                      </w:p>
                      <w:p>
                        <w:pPr>
                          <w:pStyle w:val="TableParagraph"/>
                          <w:ind w:left="553"/>
                          <w:rPr>
                            <w:sz w:val="18"/>
                          </w:rPr>
                        </w:pPr>
                        <w:r>
                          <w:rPr>
                            <w:sz w:val="18"/>
                          </w:rPr>
                          <w:t>设立依据</w:t>
                        </w:r>
                      </w:p>
                    </w:tc>
                    <w:tc>
                      <w:tcPr>
                        <w:tcW w:w="7459" w:type="dxa"/>
                        <w:gridSpan w:val="3"/>
                      </w:tcPr>
                      <w:p>
                        <w:pPr>
                          <w:pStyle w:val="TableParagraph"/>
                          <w:spacing w:before="3"/>
                          <w:rPr>
                            <w:rFonts w:ascii="方正小标宋简体"/>
                            <w:sz w:val="15"/>
                          </w:rPr>
                        </w:pPr>
                      </w:p>
                      <w:p>
                        <w:pPr>
                          <w:pStyle w:val="TableParagraph"/>
                          <w:numPr>
                            <w:ilvl w:val="0"/>
                            <w:numId w:val="12"/>
                          </w:numPr>
                          <w:tabs>
                            <w:tab w:pos="290" w:val="left" w:leader="none"/>
                          </w:tabs>
                          <w:spacing w:line="240" w:lineRule="auto" w:before="0" w:after="0"/>
                          <w:ind w:left="290" w:right="0" w:hanging="183"/>
                          <w:jc w:val="left"/>
                          <w:rPr>
                            <w:sz w:val="18"/>
                          </w:rPr>
                        </w:pPr>
                        <w:r>
                          <w:rPr>
                            <w:spacing w:val="-6"/>
                            <w:sz w:val="18"/>
                          </w:rPr>
                          <w:t>《中华人民共和国城市房地产管理法》</w:t>
                        </w:r>
                        <w:r>
                          <w:rPr>
                            <w:sz w:val="18"/>
                          </w:rPr>
                          <w:t>（1994</w:t>
                        </w:r>
                        <w:r>
                          <w:rPr>
                            <w:spacing w:val="4"/>
                            <w:sz w:val="18"/>
                          </w:rPr>
                          <w:t> 年 </w:t>
                        </w:r>
                        <w:r>
                          <w:rPr>
                            <w:sz w:val="18"/>
                          </w:rPr>
                          <w:t>7</w:t>
                        </w:r>
                        <w:r>
                          <w:rPr>
                            <w:spacing w:val="3"/>
                            <w:sz w:val="18"/>
                          </w:rPr>
                          <w:t> 月 </w:t>
                        </w:r>
                        <w:r>
                          <w:rPr>
                            <w:sz w:val="18"/>
                          </w:rPr>
                          <w:t>5 日第八届全国人民代表大会常务</w:t>
                        </w:r>
                      </w:p>
                      <w:p>
                        <w:pPr>
                          <w:pStyle w:val="TableParagraph"/>
                          <w:spacing w:before="12"/>
                          <w:rPr>
                            <w:rFonts w:ascii="方正小标宋简体"/>
                            <w:sz w:val="18"/>
                          </w:rPr>
                        </w:pPr>
                      </w:p>
                      <w:p>
                        <w:pPr>
                          <w:pStyle w:val="TableParagraph"/>
                          <w:spacing w:line="583" w:lineRule="auto"/>
                          <w:ind w:left="107" w:right="101"/>
                          <w:rPr>
                            <w:sz w:val="18"/>
                          </w:rPr>
                        </w:pPr>
                        <w:r>
                          <w:rPr>
                            <w:sz w:val="18"/>
                          </w:rPr>
                          <w:t>委员会第八次会议通过 根据 2009 年 8 月 27 日第十一届全国人民代表大会常务委员会第十次会议《关于修改部分法律的决定》第二次修正）第四十五条；</w:t>
                        </w:r>
                      </w:p>
                      <w:p>
                        <w:pPr>
                          <w:pStyle w:val="TableParagraph"/>
                          <w:numPr>
                            <w:ilvl w:val="0"/>
                            <w:numId w:val="12"/>
                          </w:numPr>
                          <w:tabs>
                            <w:tab w:pos="290" w:val="left" w:leader="none"/>
                          </w:tabs>
                          <w:spacing w:line="229" w:lineRule="exact" w:before="0" w:after="0"/>
                          <w:ind w:left="290" w:right="0" w:hanging="183"/>
                          <w:jc w:val="left"/>
                          <w:rPr>
                            <w:sz w:val="18"/>
                          </w:rPr>
                        </w:pPr>
                        <w:r>
                          <w:rPr>
                            <w:spacing w:val="-8"/>
                            <w:sz w:val="18"/>
                          </w:rPr>
                          <w:t>《城市商品房预售管理办法》</w:t>
                        </w:r>
                        <w:r>
                          <w:rPr>
                            <w:sz w:val="18"/>
                          </w:rPr>
                          <w:t>（建设部令第 131</w:t>
                        </w:r>
                        <w:r>
                          <w:rPr>
                            <w:spacing w:val="1"/>
                            <w:sz w:val="18"/>
                          </w:rPr>
                          <w:t> 号</w:t>
                        </w:r>
                        <w:r>
                          <w:rPr>
                            <w:sz w:val="18"/>
                          </w:rPr>
                          <w:t>）</w:t>
                        </w:r>
                        <w:r>
                          <w:rPr>
                            <w:spacing w:val="-1"/>
                            <w:sz w:val="18"/>
                          </w:rPr>
                          <w:t>第四条、第五条、第六条。</w:t>
                        </w:r>
                      </w:p>
                    </w:tc>
                  </w:tr>
                  <w:tr>
                    <w:trPr>
                      <w:trHeight w:val="2238" w:hRule="atLeast"/>
                    </w:trPr>
                    <w:tc>
                      <w:tcPr>
                        <w:tcW w:w="668" w:type="dxa"/>
                      </w:tcPr>
                      <w:p>
                        <w:pPr>
                          <w:pStyle w:val="TableParagraph"/>
                          <w:rPr>
                            <w:rFonts w:ascii="方正小标宋简体"/>
                            <w:sz w:val="18"/>
                          </w:rPr>
                        </w:pPr>
                      </w:p>
                      <w:p>
                        <w:pPr>
                          <w:pStyle w:val="TableParagraph"/>
                          <w:rPr>
                            <w:rFonts w:ascii="方正小标宋简体"/>
                            <w:sz w:val="18"/>
                          </w:rPr>
                        </w:pPr>
                      </w:p>
                      <w:p>
                        <w:pPr>
                          <w:pStyle w:val="TableParagraph"/>
                          <w:spacing w:before="11"/>
                          <w:rPr>
                            <w:rFonts w:ascii="方正小标宋简体"/>
                            <w:sz w:val="26"/>
                          </w:rPr>
                        </w:pPr>
                      </w:p>
                      <w:p>
                        <w:pPr>
                          <w:pStyle w:val="TableParagraph"/>
                          <w:ind w:left="7"/>
                          <w:jc w:val="center"/>
                          <w:rPr>
                            <w:sz w:val="18"/>
                          </w:rPr>
                        </w:pPr>
                        <w:r>
                          <w:rPr>
                            <w:sz w:val="18"/>
                          </w:rPr>
                          <w:t>6</w:t>
                        </w:r>
                      </w:p>
                    </w:tc>
                    <w:tc>
                      <w:tcPr>
                        <w:tcW w:w="1831" w:type="dxa"/>
                      </w:tcPr>
                      <w:p>
                        <w:pPr>
                          <w:pStyle w:val="TableParagraph"/>
                          <w:rPr>
                            <w:rFonts w:ascii="方正小标宋简体"/>
                            <w:sz w:val="18"/>
                          </w:rPr>
                        </w:pPr>
                      </w:p>
                      <w:p>
                        <w:pPr>
                          <w:pStyle w:val="TableParagraph"/>
                          <w:rPr>
                            <w:rFonts w:ascii="方正小标宋简体"/>
                            <w:sz w:val="18"/>
                          </w:rPr>
                        </w:pPr>
                      </w:p>
                      <w:p>
                        <w:pPr>
                          <w:pStyle w:val="TableParagraph"/>
                          <w:spacing w:before="11"/>
                          <w:rPr>
                            <w:rFonts w:ascii="方正小标宋简体"/>
                            <w:sz w:val="26"/>
                          </w:rPr>
                        </w:pPr>
                      </w:p>
                      <w:p>
                        <w:pPr>
                          <w:pStyle w:val="TableParagraph"/>
                          <w:ind w:left="553"/>
                          <w:rPr>
                            <w:sz w:val="18"/>
                          </w:rPr>
                        </w:pPr>
                        <w:r>
                          <w:rPr>
                            <w:sz w:val="18"/>
                          </w:rPr>
                          <w:t>办理条件</w:t>
                        </w:r>
                      </w:p>
                    </w:tc>
                    <w:tc>
                      <w:tcPr>
                        <w:tcW w:w="7459" w:type="dxa"/>
                        <w:gridSpan w:val="3"/>
                      </w:tcPr>
                      <w:p>
                        <w:pPr>
                          <w:pStyle w:val="TableParagraph"/>
                          <w:spacing w:before="3"/>
                          <w:rPr>
                            <w:rFonts w:ascii="方正小标宋简体"/>
                            <w:sz w:val="15"/>
                          </w:rPr>
                        </w:pPr>
                      </w:p>
                      <w:p>
                        <w:pPr>
                          <w:pStyle w:val="TableParagraph"/>
                          <w:numPr>
                            <w:ilvl w:val="0"/>
                            <w:numId w:val="13"/>
                          </w:numPr>
                          <w:tabs>
                            <w:tab w:pos="290" w:val="left" w:leader="none"/>
                          </w:tabs>
                          <w:spacing w:line="240" w:lineRule="auto" w:before="0" w:after="0"/>
                          <w:ind w:left="290" w:right="0" w:hanging="183"/>
                          <w:jc w:val="left"/>
                          <w:rPr>
                            <w:sz w:val="18"/>
                          </w:rPr>
                        </w:pPr>
                        <w:r>
                          <w:rPr>
                            <w:spacing w:val="-1"/>
                            <w:sz w:val="18"/>
                          </w:rPr>
                          <w:t>已交付全部土地使用权出让金，取得土地使用权证书；</w:t>
                        </w:r>
                      </w:p>
                      <w:p>
                        <w:pPr>
                          <w:pStyle w:val="TableParagraph"/>
                          <w:spacing w:before="10"/>
                          <w:rPr>
                            <w:rFonts w:ascii="方正小标宋简体"/>
                            <w:sz w:val="18"/>
                          </w:rPr>
                        </w:pPr>
                      </w:p>
                      <w:p>
                        <w:pPr>
                          <w:pStyle w:val="TableParagraph"/>
                          <w:numPr>
                            <w:ilvl w:val="0"/>
                            <w:numId w:val="13"/>
                          </w:numPr>
                          <w:tabs>
                            <w:tab w:pos="290" w:val="left" w:leader="none"/>
                          </w:tabs>
                          <w:spacing w:line="240" w:lineRule="auto" w:before="0" w:after="0"/>
                          <w:ind w:left="290" w:right="0" w:hanging="183"/>
                          <w:jc w:val="left"/>
                          <w:rPr>
                            <w:sz w:val="18"/>
                          </w:rPr>
                        </w:pPr>
                        <w:r>
                          <w:rPr>
                            <w:spacing w:val="-1"/>
                            <w:sz w:val="18"/>
                          </w:rPr>
                          <w:t>持有房地产项目开发经营权证明、建设工程规划许可证和施工许可证；</w:t>
                        </w:r>
                      </w:p>
                      <w:p>
                        <w:pPr>
                          <w:pStyle w:val="TableParagraph"/>
                          <w:numPr>
                            <w:ilvl w:val="0"/>
                            <w:numId w:val="13"/>
                          </w:numPr>
                          <w:tabs>
                            <w:tab w:pos="290" w:val="left" w:leader="none"/>
                          </w:tabs>
                          <w:spacing w:line="562" w:lineRule="exact" w:before="59" w:after="0"/>
                          <w:ind w:left="107" w:right="95" w:firstLine="0"/>
                          <w:jc w:val="left"/>
                          <w:rPr>
                            <w:sz w:val="18"/>
                          </w:rPr>
                        </w:pPr>
                        <w:r>
                          <w:rPr>
                            <w:spacing w:val="1"/>
                            <w:sz w:val="18"/>
                          </w:rPr>
                          <w:t>按提供预售的商品房计算，投入开发建设的资金达到工程建设总投资的 </w:t>
                        </w:r>
                        <w:r>
                          <w:rPr>
                            <w:sz w:val="18"/>
                          </w:rPr>
                          <w:t>25%</w:t>
                        </w:r>
                        <w:r>
                          <w:rPr>
                            <w:spacing w:val="-3"/>
                            <w:sz w:val="18"/>
                          </w:rPr>
                          <w:t>以上、已完成</w:t>
                        </w:r>
                        <w:r>
                          <w:rPr>
                            <w:sz w:val="18"/>
                          </w:rPr>
                          <w:t>基础工程，并已经确定施工进度和竣工交付日期。</w:t>
                        </w:r>
                      </w:p>
                    </w:tc>
                  </w:tr>
                  <w:tr>
                    <w:trPr>
                      <w:trHeight w:val="559" w:hRule="atLeast"/>
                    </w:trPr>
                    <w:tc>
                      <w:tcPr>
                        <w:tcW w:w="668" w:type="dxa"/>
                        <w:vMerge w:val="restart"/>
                      </w:tcPr>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spacing w:before="17"/>
                          <w:rPr>
                            <w:rFonts w:ascii="方正小标宋简体"/>
                            <w:sz w:val="14"/>
                          </w:rPr>
                        </w:pPr>
                      </w:p>
                      <w:p>
                        <w:pPr>
                          <w:pStyle w:val="TableParagraph"/>
                          <w:ind w:left="7"/>
                          <w:jc w:val="center"/>
                          <w:rPr>
                            <w:sz w:val="18"/>
                          </w:rPr>
                        </w:pPr>
                        <w:r>
                          <w:rPr>
                            <w:sz w:val="18"/>
                          </w:rPr>
                          <w:t>7</w:t>
                        </w:r>
                      </w:p>
                    </w:tc>
                    <w:tc>
                      <w:tcPr>
                        <w:tcW w:w="1831" w:type="dxa"/>
                        <w:vMerge w:val="restart"/>
                      </w:tcPr>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spacing w:before="17"/>
                          <w:rPr>
                            <w:rFonts w:ascii="方正小标宋简体"/>
                            <w:sz w:val="14"/>
                          </w:rPr>
                        </w:pPr>
                      </w:p>
                      <w:p>
                        <w:pPr>
                          <w:pStyle w:val="TableParagraph"/>
                          <w:ind w:left="373"/>
                          <w:rPr>
                            <w:sz w:val="18"/>
                          </w:rPr>
                        </w:pPr>
                        <w:r>
                          <w:rPr>
                            <w:sz w:val="18"/>
                          </w:rPr>
                          <w:t>形式审查要点</w:t>
                        </w:r>
                      </w:p>
                    </w:tc>
                    <w:tc>
                      <w:tcPr>
                        <w:tcW w:w="3476" w:type="dxa"/>
                      </w:tcPr>
                      <w:p>
                        <w:pPr>
                          <w:pStyle w:val="TableParagraph"/>
                          <w:spacing w:before="1"/>
                          <w:rPr>
                            <w:rFonts w:ascii="方正小标宋简体"/>
                            <w:sz w:val="15"/>
                          </w:rPr>
                        </w:pPr>
                      </w:p>
                      <w:p>
                        <w:pPr>
                          <w:pStyle w:val="TableParagraph"/>
                          <w:ind w:left="1357" w:right="1348"/>
                          <w:jc w:val="center"/>
                          <w:rPr>
                            <w:sz w:val="18"/>
                          </w:rPr>
                        </w:pPr>
                        <w:r>
                          <w:rPr>
                            <w:sz w:val="18"/>
                          </w:rPr>
                          <w:t>材料名称</w:t>
                        </w:r>
                      </w:p>
                    </w:tc>
                    <w:tc>
                      <w:tcPr>
                        <w:tcW w:w="1992" w:type="dxa"/>
                      </w:tcPr>
                      <w:p>
                        <w:pPr>
                          <w:pStyle w:val="TableParagraph"/>
                          <w:spacing w:before="1"/>
                          <w:rPr>
                            <w:rFonts w:ascii="方正小标宋简体"/>
                            <w:sz w:val="15"/>
                          </w:rPr>
                        </w:pPr>
                      </w:p>
                      <w:p>
                        <w:pPr>
                          <w:pStyle w:val="TableParagraph"/>
                          <w:ind w:left="635"/>
                          <w:rPr>
                            <w:sz w:val="18"/>
                          </w:rPr>
                        </w:pPr>
                        <w:r>
                          <w:rPr>
                            <w:sz w:val="18"/>
                          </w:rPr>
                          <w:t>材料性质</w:t>
                        </w:r>
                      </w:p>
                    </w:tc>
                    <w:tc>
                      <w:tcPr>
                        <w:tcW w:w="1991" w:type="dxa"/>
                      </w:tcPr>
                      <w:p>
                        <w:pPr>
                          <w:pStyle w:val="TableParagraph"/>
                          <w:spacing w:before="1"/>
                          <w:rPr>
                            <w:rFonts w:ascii="方正小标宋简体"/>
                            <w:sz w:val="15"/>
                          </w:rPr>
                        </w:pPr>
                      </w:p>
                      <w:p>
                        <w:pPr>
                          <w:pStyle w:val="TableParagraph"/>
                          <w:ind w:left="636"/>
                          <w:rPr>
                            <w:sz w:val="18"/>
                          </w:rPr>
                        </w:pPr>
                        <w:r>
                          <w:rPr>
                            <w:sz w:val="18"/>
                          </w:rPr>
                          <w:t>审查要点</w:t>
                        </w:r>
                      </w:p>
                    </w:tc>
                  </w:tr>
                  <w:tr>
                    <w:trPr>
                      <w:trHeight w:val="558"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3"/>
                          <w:rPr>
                            <w:rFonts w:ascii="方正小标宋简体"/>
                            <w:sz w:val="15"/>
                          </w:rPr>
                        </w:pPr>
                      </w:p>
                      <w:p>
                        <w:pPr>
                          <w:pStyle w:val="TableParagraph"/>
                          <w:ind w:left="107"/>
                          <w:rPr>
                            <w:sz w:val="18"/>
                          </w:rPr>
                        </w:pPr>
                        <w:r>
                          <w:rPr>
                            <w:sz w:val="18"/>
                          </w:rPr>
                          <w:t>1.商品房预售许可申请表</w:t>
                        </w:r>
                      </w:p>
                    </w:tc>
                    <w:tc>
                      <w:tcPr>
                        <w:tcW w:w="1992" w:type="dxa"/>
                      </w:tcPr>
                      <w:p>
                        <w:pPr>
                          <w:pStyle w:val="TableParagraph"/>
                          <w:spacing w:before="3"/>
                          <w:rPr>
                            <w:rFonts w:ascii="方正小标宋简体"/>
                            <w:sz w:val="15"/>
                          </w:rPr>
                        </w:pPr>
                      </w:p>
                      <w:p>
                        <w:pPr>
                          <w:pStyle w:val="TableParagraph"/>
                          <w:ind w:left="107"/>
                          <w:rPr>
                            <w:sz w:val="18"/>
                          </w:rPr>
                        </w:pPr>
                        <w:r>
                          <w:rPr>
                            <w:sz w:val="18"/>
                          </w:rPr>
                          <w:t>纸质原件 1 份</w:t>
                        </w:r>
                      </w:p>
                    </w:tc>
                    <w:tc>
                      <w:tcPr>
                        <w:tcW w:w="1991" w:type="dxa"/>
                        <w:vMerge w:val="restart"/>
                      </w:tcPr>
                      <w:p>
                        <w:pPr>
                          <w:pStyle w:val="TableParagraph"/>
                          <w:spacing w:before="4"/>
                          <w:rPr>
                            <w:rFonts w:ascii="方正小标宋简体"/>
                            <w:sz w:val="16"/>
                          </w:rPr>
                        </w:pPr>
                      </w:p>
                      <w:p>
                        <w:pPr>
                          <w:pStyle w:val="TableParagraph"/>
                          <w:numPr>
                            <w:ilvl w:val="0"/>
                            <w:numId w:val="14"/>
                          </w:numPr>
                          <w:tabs>
                            <w:tab w:pos="291" w:val="left" w:leader="none"/>
                          </w:tabs>
                          <w:spacing w:line="580" w:lineRule="auto" w:before="0" w:after="0"/>
                          <w:ind w:left="108" w:right="92" w:firstLine="0"/>
                          <w:jc w:val="left"/>
                          <w:rPr>
                            <w:sz w:val="18"/>
                          </w:rPr>
                        </w:pPr>
                        <w:r>
                          <w:rPr>
                            <w:spacing w:val="-7"/>
                            <w:sz w:val="18"/>
                          </w:rPr>
                          <w:t>受理范围：全县范围</w:t>
                        </w:r>
                        <w:r>
                          <w:rPr>
                            <w:sz w:val="18"/>
                          </w:rPr>
                          <w:t>内；</w:t>
                        </w:r>
                      </w:p>
                      <w:p>
                        <w:pPr>
                          <w:pStyle w:val="TableParagraph"/>
                          <w:numPr>
                            <w:ilvl w:val="0"/>
                            <w:numId w:val="14"/>
                          </w:numPr>
                          <w:tabs>
                            <w:tab w:pos="298" w:val="left" w:leader="none"/>
                          </w:tabs>
                          <w:spacing w:line="583" w:lineRule="auto" w:before="5" w:after="0"/>
                          <w:ind w:left="108" w:right="77" w:firstLine="0"/>
                          <w:jc w:val="both"/>
                          <w:rPr>
                            <w:sz w:val="18"/>
                          </w:rPr>
                        </w:pPr>
                        <w:r>
                          <w:rPr>
                            <w:spacing w:val="5"/>
                            <w:sz w:val="18"/>
                          </w:rPr>
                          <w:t>所有材料均需用 </w:t>
                        </w:r>
                        <w:r>
                          <w:rPr>
                            <w:sz w:val="18"/>
                          </w:rPr>
                          <w:t>A4 </w:t>
                        </w:r>
                        <w:r>
                          <w:rPr>
                            <w:spacing w:val="7"/>
                            <w:sz w:val="18"/>
                          </w:rPr>
                          <w:t>纸打印或者折叠为 </w:t>
                        </w:r>
                        <w:r>
                          <w:rPr>
                            <w:sz w:val="18"/>
                          </w:rPr>
                          <w:t>A4 </w:t>
                        </w:r>
                        <w:r>
                          <w:rPr>
                            <w:spacing w:val="17"/>
                            <w:sz w:val="18"/>
                          </w:rPr>
                          <w:t>纸张大小并加盖申请</w:t>
                        </w:r>
                        <w:r>
                          <w:rPr>
                            <w:sz w:val="18"/>
                          </w:rPr>
                          <w:t>单位公章；</w:t>
                        </w:r>
                      </w:p>
                      <w:p>
                        <w:pPr>
                          <w:pStyle w:val="TableParagraph"/>
                          <w:numPr>
                            <w:ilvl w:val="0"/>
                            <w:numId w:val="14"/>
                          </w:numPr>
                          <w:tabs>
                            <w:tab w:pos="310" w:val="left" w:leader="none"/>
                          </w:tabs>
                          <w:spacing w:line="580" w:lineRule="auto" w:before="0" w:after="0"/>
                          <w:ind w:left="108" w:right="75" w:firstLine="0"/>
                          <w:jc w:val="both"/>
                          <w:rPr>
                            <w:sz w:val="18"/>
                          </w:rPr>
                        </w:pPr>
                        <w:r>
                          <w:rPr>
                            <w:spacing w:val="17"/>
                            <w:sz w:val="18"/>
                          </w:rPr>
                          <w:t>申请材料必须数据</w:t>
                        </w:r>
                        <w:r>
                          <w:rPr>
                            <w:spacing w:val="-6"/>
                            <w:sz w:val="18"/>
                          </w:rPr>
                          <w:t>齐全、填表规范、印鉴</w:t>
                        </w:r>
                      </w:p>
                      <w:p>
                        <w:pPr>
                          <w:pStyle w:val="TableParagraph"/>
                          <w:spacing w:before="3"/>
                          <w:ind w:left="108"/>
                          <w:rPr>
                            <w:sz w:val="18"/>
                          </w:rPr>
                        </w:pPr>
                        <w:r>
                          <w:rPr>
                            <w:sz w:val="18"/>
                          </w:rPr>
                          <w:t>齐全、字迹清晰，附件</w:t>
                        </w:r>
                      </w:p>
                    </w:tc>
                  </w:tr>
                  <w:tr>
                    <w:trPr>
                      <w:trHeight w:val="1120"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rPr>
                            <w:rFonts w:ascii="方正小标宋简体"/>
                            <w:sz w:val="18"/>
                          </w:rPr>
                        </w:pPr>
                      </w:p>
                      <w:p>
                        <w:pPr>
                          <w:pStyle w:val="TableParagraph"/>
                          <w:rPr>
                            <w:rFonts w:ascii="方正小标宋简体"/>
                            <w:sz w:val="13"/>
                          </w:rPr>
                        </w:pPr>
                      </w:p>
                      <w:p>
                        <w:pPr>
                          <w:pStyle w:val="TableParagraph"/>
                          <w:spacing w:before="1"/>
                          <w:ind w:left="107"/>
                          <w:rPr>
                            <w:sz w:val="18"/>
                          </w:rPr>
                        </w:pPr>
                        <w:r>
                          <w:rPr>
                            <w:sz w:val="18"/>
                          </w:rPr>
                          <w:t>2.开发企业营业执照、资质证书</w:t>
                        </w:r>
                      </w:p>
                    </w:tc>
                    <w:tc>
                      <w:tcPr>
                        <w:tcW w:w="1992" w:type="dxa"/>
                      </w:tcPr>
                      <w:p>
                        <w:pPr>
                          <w:pStyle w:val="TableParagraph"/>
                          <w:spacing w:before="3"/>
                          <w:rPr>
                            <w:rFonts w:ascii="方正小标宋简体"/>
                            <w:sz w:val="15"/>
                          </w:rPr>
                        </w:pPr>
                      </w:p>
                      <w:p>
                        <w:pPr>
                          <w:pStyle w:val="TableParagraph"/>
                          <w:ind w:left="107"/>
                          <w:rPr>
                            <w:sz w:val="18"/>
                          </w:rPr>
                        </w:pPr>
                        <w:r>
                          <w:rPr>
                            <w:sz w:val="18"/>
                          </w:rPr>
                          <w:t>核验原件，留存纸 质</w:t>
                        </w:r>
                      </w:p>
                      <w:p>
                        <w:pPr>
                          <w:pStyle w:val="TableParagraph"/>
                          <w:spacing w:before="12"/>
                          <w:rPr>
                            <w:rFonts w:ascii="方正小标宋简体"/>
                            <w:sz w:val="18"/>
                          </w:rPr>
                        </w:pPr>
                      </w:p>
                      <w:p>
                        <w:pPr>
                          <w:pStyle w:val="TableParagraph"/>
                          <w:ind w:left="107"/>
                          <w:rPr>
                            <w:sz w:val="18"/>
                          </w:rPr>
                        </w:pPr>
                        <w:r>
                          <w:rPr>
                            <w:sz w:val="18"/>
                          </w:rPr>
                          <w:t>复印件 1 份</w:t>
                        </w:r>
                      </w:p>
                    </w:tc>
                    <w:tc>
                      <w:tcPr>
                        <w:tcW w:w="1991" w:type="dxa"/>
                        <w:vMerge/>
                        <w:tcBorders>
                          <w:top w:val="nil"/>
                        </w:tcBorders>
                      </w:tcPr>
                      <w:p>
                        <w:pPr>
                          <w:rPr>
                            <w:sz w:val="2"/>
                            <w:szCs w:val="2"/>
                          </w:rPr>
                        </w:pPr>
                      </w:p>
                    </w:tc>
                  </w:tr>
                  <w:tr>
                    <w:trPr>
                      <w:trHeight w:val="558"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3"/>
                          <w:rPr>
                            <w:rFonts w:ascii="方正小标宋简体"/>
                            <w:sz w:val="15"/>
                          </w:rPr>
                        </w:pPr>
                      </w:p>
                      <w:p>
                        <w:pPr>
                          <w:pStyle w:val="TableParagraph"/>
                          <w:ind w:left="107"/>
                          <w:rPr>
                            <w:sz w:val="18"/>
                          </w:rPr>
                        </w:pPr>
                        <w:r>
                          <w:rPr>
                            <w:sz w:val="18"/>
                          </w:rPr>
                          <w:t>3.授权委托书及法人、受委托人身份证明</w:t>
                        </w:r>
                      </w:p>
                    </w:tc>
                    <w:tc>
                      <w:tcPr>
                        <w:tcW w:w="1992" w:type="dxa"/>
                      </w:tcPr>
                      <w:p>
                        <w:pPr>
                          <w:pStyle w:val="TableParagraph"/>
                          <w:spacing w:before="3"/>
                          <w:rPr>
                            <w:rFonts w:ascii="方正小标宋简体"/>
                            <w:sz w:val="15"/>
                          </w:rPr>
                        </w:pPr>
                      </w:p>
                      <w:p>
                        <w:pPr>
                          <w:pStyle w:val="TableParagraph"/>
                          <w:ind w:left="107"/>
                          <w:rPr>
                            <w:sz w:val="18"/>
                          </w:rPr>
                        </w:pPr>
                        <w:r>
                          <w:rPr>
                            <w:sz w:val="18"/>
                          </w:rPr>
                          <w:t>纸质原件 1 份</w:t>
                        </w:r>
                      </w:p>
                    </w:tc>
                    <w:tc>
                      <w:tcPr>
                        <w:tcW w:w="1991" w:type="dxa"/>
                        <w:vMerge/>
                        <w:tcBorders>
                          <w:top w:val="nil"/>
                        </w:tcBorders>
                      </w:tcPr>
                      <w:p>
                        <w:pPr>
                          <w:rPr>
                            <w:sz w:val="2"/>
                            <w:szCs w:val="2"/>
                          </w:rPr>
                        </w:pPr>
                      </w:p>
                    </w:tc>
                  </w:tr>
                  <w:tr>
                    <w:trPr>
                      <w:trHeight w:val="1682"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5"/>
                          <w:rPr>
                            <w:rFonts w:ascii="方正小标宋简体"/>
                            <w:sz w:val="15"/>
                          </w:rPr>
                        </w:pPr>
                      </w:p>
                      <w:p>
                        <w:pPr>
                          <w:pStyle w:val="TableParagraph"/>
                          <w:spacing w:line="580" w:lineRule="auto"/>
                          <w:ind w:left="107" w:right="101"/>
                          <w:rPr>
                            <w:sz w:val="18"/>
                          </w:rPr>
                        </w:pPr>
                        <w:r>
                          <w:rPr>
                            <w:sz w:val="18"/>
                          </w:rPr>
                          <w:t>4.土地（不动产权）证（在建工程已经设置抵押的，还应提交抵押权人签署的书面</w:t>
                        </w:r>
                      </w:p>
                      <w:p>
                        <w:pPr>
                          <w:pStyle w:val="TableParagraph"/>
                          <w:spacing w:before="3"/>
                          <w:ind w:left="107"/>
                          <w:rPr>
                            <w:sz w:val="18"/>
                          </w:rPr>
                        </w:pPr>
                        <w:r>
                          <w:rPr>
                            <w:sz w:val="18"/>
                          </w:rPr>
                          <w:t>意见）</w:t>
                        </w:r>
                      </w:p>
                    </w:tc>
                    <w:tc>
                      <w:tcPr>
                        <w:tcW w:w="1992" w:type="dxa"/>
                      </w:tcPr>
                      <w:p>
                        <w:pPr>
                          <w:pStyle w:val="TableParagraph"/>
                          <w:spacing w:before="5"/>
                          <w:rPr>
                            <w:rFonts w:ascii="方正小标宋简体"/>
                            <w:sz w:val="15"/>
                          </w:rPr>
                        </w:pPr>
                      </w:p>
                      <w:p>
                        <w:pPr>
                          <w:pStyle w:val="TableParagraph"/>
                          <w:spacing w:line="580" w:lineRule="auto"/>
                          <w:ind w:left="107" w:right="86"/>
                          <w:rPr>
                            <w:sz w:val="18"/>
                          </w:rPr>
                        </w:pPr>
                        <w:r>
                          <w:rPr>
                            <w:sz w:val="18"/>
                          </w:rPr>
                          <w:t>核验原件，留存纸 质复印件 1 份（纸质原</w:t>
                        </w:r>
                      </w:p>
                      <w:p>
                        <w:pPr>
                          <w:pStyle w:val="TableParagraph"/>
                          <w:spacing w:before="3"/>
                          <w:ind w:left="107"/>
                          <w:rPr>
                            <w:sz w:val="18"/>
                          </w:rPr>
                        </w:pPr>
                        <w:r>
                          <w:rPr>
                            <w:sz w:val="18"/>
                          </w:rPr>
                          <w:t>件 1 份）</w:t>
                        </w:r>
                      </w:p>
                    </w:tc>
                    <w:tc>
                      <w:tcPr>
                        <w:tcW w:w="1991" w:type="dxa"/>
                        <w:vMerge/>
                        <w:tcBorders>
                          <w:top w:val="nil"/>
                        </w:tcBorders>
                      </w:tcPr>
                      <w:p>
                        <w:pPr>
                          <w:rPr>
                            <w:sz w:val="2"/>
                            <w:szCs w:val="2"/>
                          </w:rPr>
                        </w:pPr>
                      </w:p>
                    </w:tc>
                  </w:tr>
                  <w:tr>
                    <w:trPr>
                      <w:trHeight w:val="1120"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line="560" w:lineRule="exact"/>
                          <w:ind w:left="107" w:right="101"/>
                          <w:rPr>
                            <w:sz w:val="18"/>
                          </w:rPr>
                        </w:pPr>
                        <w:r>
                          <w:rPr>
                            <w:sz w:val="18"/>
                          </w:rPr>
                          <w:t>5.建设工程规划许可证、建筑工程施工许可证</w:t>
                        </w:r>
                      </w:p>
                    </w:tc>
                    <w:tc>
                      <w:tcPr>
                        <w:tcW w:w="1992" w:type="dxa"/>
                      </w:tcPr>
                      <w:p>
                        <w:pPr>
                          <w:pStyle w:val="TableParagraph"/>
                          <w:spacing w:line="560" w:lineRule="exact"/>
                          <w:ind w:left="107" w:right="96"/>
                          <w:rPr>
                            <w:sz w:val="18"/>
                          </w:rPr>
                        </w:pPr>
                        <w:r>
                          <w:rPr>
                            <w:sz w:val="18"/>
                          </w:rPr>
                          <w:t>核验原件，留存纸 质复印件 1 份</w:t>
                        </w:r>
                      </w:p>
                    </w:tc>
                    <w:tc>
                      <w:tcPr>
                        <w:tcW w:w="1991" w:type="dxa"/>
                        <w:vMerge/>
                        <w:tcBorders>
                          <w:top w:val="nil"/>
                        </w:tcBorders>
                      </w:tcPr>
                      <w:p>
                        <w:pPr>
                          <w:rPr>
                            <w:sz w:val="2"/>
                            <w:szCs w:val="2"/>
                          </w:rPr>
                        </w:pPr>
                      </w:p>
                    </w:tc>
                  </w:tr>
                </w:tbl>
                <w:p>
                  <w:pPr>
                    <w:pStyle w:val="BodyText"/>
                    <w:spacing w:before="0"/>
                  </w:pPr>
                </w:p>
              </w:txbxContent>
            </v:textbox>
            <w10:wrap type="none"/>
          </v:shape>
        </w:pict>
      </w:r>
      <w:r>
        <w:rPr>
          <w:rFonts w:ascii="黑体" w:eastAsia="黑体" w:hint="eastAsia"/>
        </w:rPr>
        <w:t>附件 4</w:t>
      </w:r>
    </w:p>
    <w:p>
      <w:pPr>
        <w:pStyle w:val="BodyText"/>
        <w:spacing w:before="91"/>
        <w:ind w:left="874" w:right="1153"/>
        <w:jc w:val="center"/>
        <w:rPr>
          <w:rFonts w:ascii="方正小标宋简体" w:hAnsi="方正小标宋简体" w:eastAsia="方正小标宋简体" w:hint="eastAsia"/>
        </w:rPr>
      </w:pPr>
      <w:r>
        <w:rPr>
          <w:rFonts w:ascii="方正小标宋简体" w:hAnsi="方正小标宋简体" w:eastAsia="方正小标宋简体" w:hint="eastAsia"/>
        </w:rPr>
        <w:t>政务服务事项“一次办好”标准化工作规程（样本）</w:t>
      </w:r>
    </w:p>
    <w:p>
      <w:pPr>
        <w:spacing w:after="0"/>
        <w:jc w:val="center"/>
        <w:rPr>
          <w:rFonts w:ascii="方正小标宋简体" w:hAnsi="方正小标宋简体" w:eastAsia="方正小标宋简体" w:hint="eastAsia"/>
        </w:rPr>
        <w:sectPr>
          <w:pgSz w:w="11910" w:h="16840"/>
          <w:pgMar w:header="0" w:footer="1613" w:top="1200" w:bottom="1880" w:left="860" w:right="6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1831"/>
        <w:gridCol w:w="3476"/>
        <w:gridCol w:w="1992"/>
        <w:gridCol w:w="1991"/>
      </w:tblGrid>
      <w:tr>
        <w:trPr>
          <w:trHeight w:val="1120" w:hRule="atLeast"/>
        </w:trPr>
        <w:tc>
          <w:tcPr>
            <w:tcW w:w="668" w:type="dxa"/>
            <w:vMerge w:val="restart"/>
          </w:tcPr>
          <w:p>
            <w:pPr>
              <w:pStyle w:val="TableParagraph"/>
              <w:rPr>
                <w:rFonts w:ascii="Times New Roman"/>
                <w:sz w:val="18"/>
              </w:rPr>
            </w:pPr>
          </w:p>
        </w:tc>
        <w:tc>
          <w:tcPr>
            <w:tcW w:w="1831" w:type="dxa"/>
            <w:vMerge w:val="restart"/>
          </w:tcPr>
          <w:p>
            <w:pPr>
              <w:pStyle w:val="TableParagraph"/>
              <w:rPr>
                <w:rFonts w:ascii="Times New Roman"/>
                <w:sz w:val="18"/>
              </w:rPr>
            </w:pPr>
          </w:p>
        </w:tc>
        <w:tc>
          <w:tcPr>
            <w:tcW w:w="3476" w:type="dxa"/>
          </w:tcPr>
          <w:p>
            <w:pPr>
              <w:pStyle w:val="TableParagraph"/>
              <w:rPr>
                <w:rFonts w:ascii="方正小标宋简体"/>
                <w:sz w:val="18"/>
              </w:rPr>
            </w:pPr>
          </w:p>
          <w:p>
            <w:pPr>
              <w:pStyle w:val="TableParagraph"/>
              <w:spacing w:before="12"/>
              <w:rPr>
                <w:rFonts w:ascii="方正小标宋简体"/>
                <w:sz w:val="12"/>
              </w:rPr>
            </w:pPr>
          </w:p>
          <w:p>
            <w:pPr>
              <w:pStyle w:val="TableParagraph"/>
              <w:spacing w:before="1"/>
              <w:ind w:left="107"/>
              <w:rPr>
                <w:sz w:val="18"/>
              </w:rPr>
            </w:pPr>
            <w:r>
              <w:rPr>
                <w:sz w:val="18"/>
              </w:rPr>
              <w:t>6.开发经营许可证</w:t>
            </w:r>
          </w:p>
        </w:tc>
        <w:tc>
          <w:tcPr>
            <w:tcW w:w="1992" w:type="dxa"/>
          </w:tcPr>
          <w:p>
            <w:pPr>
              <w:pStyle w:val="TableParagraph"/>
              <w:spacing w:before="17"/>
              <w:rPr>
                <w:rFonts w:ascii="方正小标宋简体"/>
                <w:sz w:val="14"/>
              </w:rPr>
            </w:pPr>
          </w:p>
          <w:p>
            <w:pPr>
              <w:pStyle w:val="TableParagraph"/>
              <w:ind w:left="107"/>
              <w:rPr>
                <w:sz w:val="18"/>
              </w:rPr>
            </w:pPr>
            <w:r>
              <w:rPr>
                <w:sz w:val="18"/>
              </w:rPr>
              <w:t>核验原件，留存纸 质</w:t>
            </w:r>
          </w:p>
          <w:p>
            <w:pPr>
              <w:pStyle w:val="TableParagraph"/>
              <w:spacing w:before="11"/>
              <w:rPr>
                <w:rFonts w:ascii="方正小标宋简体"/>
                <w:sz w:val="18"/>
              </w:rPr>
            </w:pPr>
          </w:p>
          <w:p>
            <w:pPr>
              <w:pStyle w:val="TableParagraph"/>
              <w:ind w:left="107"/>
              <w:rPr>
                <w:sz w:val="18"/>
              </w:rPr>
            </w:pPr>
            <w:r>
              <w:rPr>
                <w:sz w:val="18"/>
              </w:rPr>
              <w:t>复印件 1 份</w:t>
            </w:r>
          </w:p>
        </w:tc>
        <w:tc>
          <w:tcPr>
            <w:tcW w:w="1991" w:type="dxa"/>
            <w:vMerge w:val="restart"/>
          </w:tcPr>
          <w:p>
            <w:pPr>
              <w:pStyle w:val="TableParagraph"/>
              <w:spacing w:before="17"/>
              <w:rPr>
                <w:rFonts w:ascii="方正小标宋简体"/>
                <w:sz w:val="14"/>
              </w:rPr>
            </w:pPr>
          </w:p>
          <w:p>
            <w:pPr>
              <w:pStyle w:val="TableParagraph"/>
              <w:ind w:left="108"/>
              <w:rPr>
                <w:sz w:val="18"/>
              </w:rPr>
            </w:pPr>
            <w:r>
              <w:rPr>
                <w:sz w:val="18"/>
              </w:rPr>
              <w:t>材料必须清晰、可辨；</w:t>
            </w:r>
          </w:p>
          <w:p>
            <w:pPr>
              <w:pStyle w:val="TableParagraph"/>
              <w:spacing w:before="11"/>
              <w:rPr>
                <w:rFonts w:ascii="方正小标宋简体"/>
                <w:sz w:val="18"/>
              </w:rPr>
            </w:pPr>
          </w:p>
          <w:p>
            <w:pPr>
              <w:pStyle w:val="TableParagraph"/>
              <w:spacing w:line="580" w:lineRule="auto"/>
              <w:ind w:left="108" w:right="75"/>
              <w:rPr>
                <w:sz w:val="18"/>
              </w:rPr>
            </w:pPr>
            <w:r>
              <w:rPr>
                <w:sz w:val="18"/>
              </w:rPr>
              <w:t>4</w:t>
            </w:r>
            <w:r>
              <w:rPr>
                <w:spacing w:val="4"/>
                <w:sz w:val="18"/>
              </w:rPr>
              <w:t>. 原件与复印件信息</w:t>
            </w:r>
            <w:r>
              <w:rPr>
                <w:sz w:val="18"/>
              </w:rPr>
              <w:t>一致，且与本次申</w:t>
            </w:r>
          </w:p>
          <w:p>
            <w:pPr>
              <w:pStyle w:val="TableParagraph"/>
              <w:spacing w:before="4"/>
              <w:ind w:left="108"/>
              <w:rPr>
                <w:sz w:val="18"/>
              </w:rPr>
            </w:pPr>
            <w:r>
              <w:rPr>
                <w:sz w:val="18"/>
              </w:rPr>
              <w:t>请事项信息相符。</w:t>
            </w:r>
          </w:p>
        </w:tc>
      </w:tr>
      <w:tr>
        <w:trPr>
          <w:trHeight w:val="561"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5"/>
              <w:rPr>
                <w:rFonts w:ascii="方正小标宋简体"/>
                <w:sz w:val="14"/>
              </w:rPr>
            </w:pPr>
          </w:p>
          <w:p>
            <w:pPr>
              <w:pStyle w:val="TableParagraph"/>
              <w:ind w:left="107"/>
              <w:rPr>
                <w:sz w:val="18"/>
              </w:rPr>
            </w:pPr>
            <w:r>
              <w:rPr>
                <w:sz w:val="18"/>
              </w:rPr>
              <w:t>7.资金投入达到 25%以上的证明</w:t>
            </w:r>
          </w:p>
        </w:tc>
        <w:tc>
          <w:tcPr>
            <w:tcW w:w="1992" w:type="dxa"/>
          </w:tcPr>
          <w:p>
            <w:pPr>
              <w:pStyle w:val="TableParagraph"/>
              <w:spacing w:before="15"/>
              <w:rPr>
                <w:rFonts w:ascii="方正小标宋简体"/>
                <w:sz w:val="14"/>
              </w:rPr>
            </w:pPr>
          </w:p>
          <w:p>
            <w:pPr>
              <w:pStyle w:val="TableParagraph"/>
              <w:ind w:left="107"/>
              <w:rPr>
                <w:sz w:val="18"/>
              </w:rPr>
            </w:pPr>
            <w:r>
              <w:rPr>
                <w:sz w:val="18"/>
              </w:rPr>
              <w:t>纸质原件 1 份</w:t>
            </w:r>
          </w:p>
        </w:tc>
        <w:tc>
          <w:tcPr>
            <w:tcW w:w="1991" w:type="dxa"/>
            <w:vMerge/>
            <w:tcBorders>
              <w:top w:val="nil"/>
            </w:tcBorders>
          </w:tcPr>
          <w:p>
            <w:pPr>
              <w:rPr>
                <w:sz w:val="2"/>
                <w:szCs w:val="2"/>
              </w:rPr>
            </w:pPr>
          </w:p>
        </w:tc>
      </w:tr>
      <w:tr>
        <w:trPr>
          <w:trHeight w:val="558"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5"/>
              <w:rPr>
                <w:rFonts w:ascii="方正小标宋简体"/>
                <w:sz w:val="14"/>
              </w:rPr>
            </w:pPr>
          </w:p>
          <w:p>
            <w:pPr>
              <w:pStyle w:val="TableParagraph"/>
              <w:ind w:left="107"/>
              <w:rPr>
                <w:sz w:val="18"/>
              </w:rPr>
            </w:pPr>
            <w:r>
              <w:rPr>
                <w:sz w:val="18"/>
              </w:rPr>
              <w:t>8.基础工程验收证明</w:t>
            </w:r>
          </w:p>
        </w:tc>
        <w:tc>
          <w:tcPr>
            <w:tcW w:w="1992" w:type="dxa"/>
          </w:tcPr>
          <w:p>
            <w:pPr>
              <w:pStyle w:val="TableParagraph"/>
              <w:spacing w:before="15"/>
              <w:rPr>
                <w:rFonts w:ascii="方正小标宋简体"/>
                <w:sz w:val="14"/>
              </w:rPr>
            </w:pPr>
          </w:p>
          <w:p>
            <w:pPr>
              <w:pStyle w:val="TableParagraph"/>
              <w:ind w:left="107"/>
              <w:rPr>
                <w:sz w:val="18"/>
              </w:rPr>
            </w:pPr>
            <w:r>
              <w:rPr>
                <w:sz w:val="18"/>
              </w:rPr>
              <w:t>纸质原件 1 份</w:t>
            </w:r>
          </w:p>
        </w:tc>
        <w:tc>
          <w:tcPr>
            <w:tcW w:w="1991" w:type="dxa"/>
            <w:vMerge/>
            <w:tcBorders>
              <w:top w:val="nil"/>
            </w:tcBorders>
          </w:tcPr>
          <w:p>
            <w:pPr>
              <w:rPr>
                <w:sz w:val="2"/>
                <w:szCs w:val="2"/>
              </w:rPr>
            </w:pPr>
          </w:p>
        </w:tc>
      </w:tr>
      <w:tr>
        <w:trPr>
          <w:trHeight w:val="1120"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5"/>
              <w:rPr>
                <w:rFonts w:ascii="方正小标宋简体"/>
                <w:sz w:val="14"/>
              </w:rPr>
            </w:pPr>
          </w:p>
          <w:p>
            <w:pPr>
              <w:pStyle w:val="TableParagraph"/>
              <w:ind w:left="107"/>
              <w:rPr>
                <w:sz w:val="18"/>
              </w:rPr>
            </w:pPr>
            <w:r>
              <w:rPr>
                <w:sz w:val="18"/>
              </w:rPr>
              <w:t>9.业主临时公约、已签订的前期物业服务</w:t>
            </w:r>
          </w:p>
          <w:p>
            <w:pPr>
              <w:pStyle w:val="TableParagraph"/>
              <w:spacing w:before="12"/>
              <w:rPr>
                <w:rFonts w:ascii="方正小标宋简体"/>
                <w:sz w:val="18"/>
              </w:rPr>
            </w:pPr>
          </w:p>
          <w:p>
            <w:pPr>
              <w:pStyle w:val="TableParagraph"/>
              <w:ind w:left="107"/>
              <w:rPr>
                <w:sz w:val="18"/>
              </w:rPr>
            </w:pPr>
            <w:r>
              <w:rPr>
                <w:sz w:val="18"/>
              </w:rPr>
              <w:t>合同</w:t>
            </w:r>
          </w:p>
        </w:tc>
        <w:tc>
          <w:tcPr>
            <w:tcW w:w="1992" w:type="dxa"/>
          </w:tcPr>
          <w:p>
            <w:pPr>
              <w:pStyle w:val="TableParagraph"/>
              <w:spacing w:before="15"/>
              <w:rPr>
                <w:rFonts w:ascii="方正小标宋简体"/>
                <w:sz w:val="14"/>
              </w:rPr>
            </w:pPr>
          </w:p>
          <w:p>
            <w:pPr>
              <w:pStyle w:val="TableParagraph"/>
              <w:ind w:left="107"/>
              <w:rPr>
                <w:sz w:val="18"/>
              </w:rPr>
            </w:pPr>
            <w:r>
              <w:rPr>
                <w:sz w:val="18"/>
              </w:rPr>
              <w:t>核验原件，留存纸 质</w:t>
            </w:r>
          </w:p>
          <w:p>
            <w:pPr>
              <w:pStyle w:val="TableParagraph"/>
              <w:spacing w:before="12"/>
              <w:rPr>
                <w:rFonts w:ascii="方正小标宋简体"/>
                <w:sz w:val="18"/>
              </w:rPr>
            </w:pPr>
          </w:p>
          <w:p>
            <w:pPr>
              <w:pStyle w:val="TableParagraph"/>
              <w:ind w:left="107"/>
              <w:rPr>
                <w:sz w:val="18"/>
              </w:rPr>
            </w:pPr>
            <w:r>
              <w:rPr>
                <w:sz w:val="18"/>
              </w:rPr>
              <w:t>复印件 1 份</w:t>
            </w:r>
          </w:p>
        </w:tc>
        <w:tc>
          <w:tcPr>
            <w:tcW w:w="1991" w:type="dxa"/>
            <w:vMerge/>
            <w:tcBorders>
              <w:top w:val="nil"/>
            </w:tcBorders>
          </w:tcPr>
          <w:p>
            <w:pPr>
              <w:rPr>
                <w:sz w:val="2"/>
                <w:szCs w:val="2"/>
              </w:rPr>
            </w:pPr>
          </w:p>
        </w:tc>
      </w:tr>
      <w:tr>
        <w:trPr>
          <w:trHeight w:val="563"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7"/>
              <w:rPr>
                <w:rFonts w:ascii="方正小标宋简体"/>
                <w:sz w:val="14"/>
              </w:rPr>
            </w:pPr>
          </w:p>
          <w:p>
            <w:pPr>
              <w:pStyle w:val="TableParagraph"/>
              <w:ind w:left="107"/>
              <w:rPr>
                <w:sz w:val="18"/>
              </w:rPr>
            </w:pPr>
            <w:r>
              <w:rPr>
                <w:sz w:val="18"/>
              </w:rPr>
              <w:t>10.商品房预售方案</w:t>
            </w:r>
          </w:p>
        </w:tc>
        <w:tc>
          <w:tcPr>
            <w:tcW w:w="1992" w:type="dxa"/>
          </w:tcPr>
          <w:p>
            <w:pPr>
              <w:pStyle w:val="TableParagraph"/>
              <w:spacing w:before="17"/>
              <w:rPr>
                <w:rFonts w:ascii="方正小标宋简体"/>
                <w:sz w:val="14"/>
              </w:rPr>
            </w:pPr>
          </w:p>
          <w:p>
            <w:pPr>
              <w:pStyle w:val="TableParagraph"/>
              <w:ind w:left="107"/>
              <w:rPr>
                <w:sz w:val="18"/>
              </w:rPr>
            </w:pPr>
            <w:r>
              <w:rPr>
                <w:sz w:val="18"/>
              </w:rPr>
              <w:t>纸质原件 1 份</w:t>
            </w:r>
          </w:p>
        </w:tc>
        <w:tc>
          <w:tcPr>
            <w:tcW w:w="1991" w:type="dxa"/>
            <w:vMerge/>
            <w:tcBorders>
              <w:top w:val="nil"/>
            </w:tcBorders>
          </w:tcPr>
          <w:p>
            <w:pPr>
              <w:rPr>
                <w:sz w:val="2"/>
                <w:szCs w:val="2"/>
              </w:rPr>
            </w:pPr>
          </w:p>
        </w:tc>
      </w:tr>
      <w:tr>
        <w:trPr>
          <w:trHeight w:val="1118"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5"/>
              <w:rPr>
                <w:rFonts w:ascii="方正小标宋简体"/>
                <w:sz w:val="14"/>
              </w:rPr>
            </w:pPr>
          </w:p>
          <w:p>
            <w:pPr>
              <w:pStyle w:val="TableParagraph"/>
              <w:ind w:left="107"/>
              <w:rPr>
                <w:sz w:val="18"/>
              </w:rPr>
            </w:pPr>
            <w:r>
              <w:rPr>
                <w:sz w:val="18"/>
              </w:rPr>
              <w:t>11.房产测绘部门出具的测绘成果</w:t>
            </w:r>
          </w:p>
          <w:p>
            <w:pPr>
              <w:pStyle w:val="TableParagraph"/>
              <w:spacing w:before="10"/>
              <w:rPr>
                <w:rFonts w:ascii="方正小标宋简体"/>
                <w:sz w:val="18"/>
              </w:rPr>
            </w:pPr>
          </w:p>
          <w:p>
            <w:pPr>
              <w:pStyle w:val="TableParagraph"/>
              <w:spacing w:before="1"/>
              <w:ind w:left="107"/>
              <w:rPr>
                <w:sz w:val="18"/>
              </w:rPr>
            </w:pPr>
            <w:r>
              <w:rPr>
                <w:sz w:val="18"/>
              </w:rPr>
              <w:t>报告书</w:t>
            </w:r>
          </w:p>
        </w:tc>
        <w:tc>
          <w:tcPr>
            <w:tcW w:w="1992" w:type="dxa"/>
          </w:tcPr>
          <w:p>
            <w:pPr>
              <w:pStyle w:val="TableParagraph"/>
              <w:spacing w:before="15"/>
              <w:rPr>
                <w:rFonts w:ascii="方正小标宋简体"/>
                <w:sz w:val="14"/>
              </w:rPr>
            </w:pPr>
          </w:p>
          <w:p>
            <w:pPr>
              <w:pStyle w:val="TableParagraph"/>
              <w:ind w:left="107"/>
              <w:rPr>
                <w:sz w:val="18"/>
              </w:rPr>
            </w:pPr>
            <w:r>
              <w:rPr>
                <w:sz w:val="18"/>
              </w:rPr>
              <w:t>核验原件，留存纸 质</w:t>
            </w:r>
          </w:p>
          <w:p>
            <w:pPr>
              <w:pStyle w:val="TableParagraph"/>
              <w:spacing w:before="10"/>
              <w:rPr>
                <w:rFonts w:ascii="方正小标宋简体"/>
                <w:sz w:val="18"/>
              </w:rPr>
            </w:pPr>
          </w:p>
          <w:p>
            <w:pPr>
              <w:pStyle w:val="TableParagraph"/>
              <w:spacing w:before="1"/>
              <w:ind w:left="107"/>
              <w:rPr>
                <w:sz w:val="18"/>
              </w:rPr>
            </w:pPr>
            <w:r>
              <w:rPr>
                <w:sz w:val="18"/>
              </w:rPr>
              <w:t>复印件 1 份</w:t>
            </w:r>
          </w:p>
        </w:tc>
        <w:tc>
          <w:tcPr>
            <w:tcW w:w="1991" w:type="dxa"/>
            <w:vMerge/>
            <w:tcBorders>
              <w:top w:val="nil"/>
            </w:tcBorders>
          </w:tcPr>
          <w:p>
            <w:pPr>
              <w:rPr>
                <w:sz w:val="2"/>
                <w:szCs w:val="2"/>
              </w:rPr>
            </w:pPr>
          </w:p>
        </w:tc>
      </w:tr>
      <w:tr>
        <w:trPr>
          <w:trHeight w:val="1120"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7"/>
              <w:rPr>
                <w:rFonts w:ascii="方正小标宋简体"/>
                <w:sz w:val="14"/>
              </w:rPr>
            </w:pPr>
          </w:p>
          <w:p>
            <w:pPr>
              <w:pStyle w:val="TableParagraph"/>
              <w:ind w:left="107"/>
              <w:rPr>
                <w:sz w:val="18"/>
              </w:rPr>
            </w:pPr>
            <w:r>
              <w:rPr>
                <w:sz w:val="18"/>
              </w:rPr>
              <w:t>12.郯城县商品房预售资金监管协议或非</w:t>
            </w:r>
          </w:p>
          <w:p>
            <w:pPr>
              <w:pStyle w:val="TableParagraph"/>
              <w:spacing w:before="10"/>
              <w:rPr>
                <w:rFonts w:ascii="方正小标宋简体"/>
                <w:sz w:val="18"/>
              </w:rPr>
            </w:pPr>
          </w:p>
          <w:p>
            <w:pPr>
              <w:pStyle w:val="TableParagraph"/>
              <w:ind w:left="107"/>
              <w:rPr>
                <w:sz w:val="18"/>
              </w:rPr>
            </w:pPr>
            <w:r>
              <w:rPr>
                <w:sz w:val="18"/>
              </w:rPr>
              <w:t>监管业务证明</w:t>
            </w:r>
          </w:p>
        </w:tc>
        <w:tc>
          <w:tcPr>
            <w:tcW w:w="1992" w:type="dxa"/>
          </w:tcPr>
          <w:p>
            <w:pPr>
              <w:pStyle w:val="TableParagraph"/>
              <w:rPr>
                <w:rFonts w:ascii="方正小标宋简体"/>
                <w:sz w:val="18"/>
              </w:rPr>
            </w:pPr>
          </w:p>
          <w:p>
            <w:pPr>
              <w:pStyle w:val="TableParagraph"/>
              <w:spacing w:before="12"/>
              <w:rPr>
                <w:rFonts w:ascii="方正小标宋简体"/>
                <w:sz w:val="12"/>
              </w:rPr>
            </w:pPr>
          </w:p>
          <w:p>
            <w:pPr>
              <w:pStyle w:val="TableParagraph"/>
              <w:spacing w:before="1"/>
              <w:ind w:left="107"/>
              <w:rPr>
                <w:sz w:val="18"/>
              </w:rPr>
            </w:pPr>
            <w:r>
              <w:rPr>
                <w:sz w:val="18"/>
              </w:rPr>
              <w:t>纸质原件 1 份</w:t>
            </w:r>
          </w:p>
        </w:tc>
        <w:tc>
          <w:tcPr>
            <w:tcW w:w="1991" w:type="dxa"/>
            <w:vMerge/>
            <w:tcBorders>
              <w:top w:val="nil"/>
            </w:tcBorders>
          </w:tcPr>
          <w:p>
            <w:pPr>
              <w:rPr>
                <w:sz w:val="2"/>
                <w:szCs w:val="2"/>
              </w:rPr>
            </w:pPr>
          </w:p>
        </w:tc>
      </w:tr>
      <w:tr>
        <w:trPr>
          <w:trHeight w:val="887" w:hRule="atLeast"/>
        </w:trPr>
        <w:tc>
          <w:tcPr>
            <w:tcW w:w="668" w:type="dxa"/>
            <w:vMerge/>
            <w:tcBorders>
              <w:top w:val="nil"/>
            </w:tcBorders>
          </w:tcPr>
          <w:p>
            <w:pPr>
              <w:rPr>
                <w:sz w:val="2"/>
                <w:szCs w:val="2"/>
              </w:rPr>
            </w:pPr>
          </w:p>
        </w:tc>
        <w:tc>
          <w:tcPr>
            <w:tcW w:w="1831" w:type="dxa"/>
            <w:vMerge/>
            <w:tcBorders>
              <w:top w:val="nil"/>
            </w:tcBorders>
          </w:tcPr>
          <w:p>
            <w:pPr>
              <w:rPr>
                <w:sz w:val="2"/>
                <w:szCs w:val="2"/>
              </w:rPr>
            </w:pPr>
          </w:p>
        </w:tc>
        <w:tc>
          <w:tcPr>
            <w:tcW w:w="3476" w:type="dxa"/>
          </w:tcPr>
          <w:p>
            <w:pPr>
              <w:pStyle w:val="TableParagraph"/>
              <w:spacing w:before="1"/>
              <w:rPr>
                <w:rFonts w:ascii="方正小标宋简体"/>
                <w:sz w:val="24"/>
              </w:rPr>
            </w:pPr>
          </w:p>
          <w:p>
            <w:pPr>
              <w:pStyle w:val="TableParagraph"/>
              <w:ind w:left="107"/>
              <w:rPr>
                <w:sz w:val="18"/>
              </w:rPr>
            </w:pPr>
            <w:r>
              <w:rPr>
                <w:sz w:val="18"/>
              </w:rPr>
              <w:t>13.不动产出具的土地抵押、查封情况证明</w:t>
            </w:r>
          </w:p>
        </w:tc>
        <w:tc>
          <w:tcPr>
            <w:tcW w:w="1992" w:type="dxa"/>
          </w:tcPr>
          <w:p>
            <w:pPr>
              <w:pStyle w:val="TableParagraph"/>
              <w:spacing w:before="1"/>
              <w:rPr>
                <w:rFonts w:ascii="方正小标宋简体"/>
                <w:sz w:val="24"/>
              </w:rPr>
            </w:pPr>
          </w:p>
          <w:p>
            <w:pPr>
              <w:pStyle w:val="TableParagraph"/>
              <w:ind w:left="107"/>
              <w:rPr>
                <w:sz w:val="18"/>
              </w:rPr>
            </w:pPr>
            <w:r>
              <w:rPr>
                <w:sz w:val="18"/>
              </w:rPr>
              <w:t>纸质原件 1 份</w:t>
            </w:r>
          </w:p>
        </w:tc>
        <w:tc>
          <w:tcPr>
            <w:tcW w:w="1991" w:type="dxa"/>
            <w:vMerge/>
            <w:tcBorders>
              <w:top w:val="nil"/>
            </w:tcBorders>
          </w:tcPr>
          <w:p>
            <w:pPr>
              <w:rPr>
                <w:sz w:val="2"/>
                <w:szCs w:val="2"/>
              </w:rPr>
            </w:pPr>
          </w:p>
        </w:tc>
      </w:tr>
      <w:tr>
        <w:trPr>
          <w:trHeight w:val="4480" w:hRule="atLeast"/>
        </w:trPr>
        <w:tc>
          <w:tcPr>
            <w:tcW w:w="668" w:type="dxa"/>
          </w:tcPr>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spacing w:before="12"/>
              <w:rPr>
                <w:rFonts w:ascii="方正小标宋简体"/>
                <w:sz w:val="17"/>
              </w:rPr>
            </w:pPr>
          </w:p>
          <w:p>
            <w:pPr>
              <w:pStyle w:val="TableParagraph"/>
              <w:ind w:left="7"/>
              <w:jc w:val="center"/>
              <w:rPr>
                <w:sz w:val="18"/>
              </w:rPr>
            </w:pPr>
            <w:r>
              <w:rPr>
                <w:sz w:val="18"/>
              </w:rPr>
              <w:t>8</w:t>
            </w:r>
          </w:p>
        </w:tc>
        <w:tc>
          <w:tcPr>
            <w:tcW w:w="1831" w:type="dxa"/>
          </w:tcPr>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spacing w:before="12"/>
              <w:rPr>
                <w:rFonts w:ascii="方正小标宋简体"/>
                <w:sz w:val="17"/>
              </w:rPr>
            </w:pPr>
          </w:p>
          <w:p>
            <w:pPr>
              <w:pStyle w:val="TableParagraph"/>
              <w:ind w:left="173" w:right="167"/>
              <w:jc w:val="center"/>
              <w:rPr>
                <w:sz w:val="18"/>
              </w:rPr>
            </w:pPr>
            <w:r>
              <w:rPr>
                <w:sz w:val="18"/>
              </w:rPr>
              <w:t>申请材料实施依据</w:t>
            </w:r>
          </w:p>
        </w:tc>
        <w:tc>
          <w:tcPr>
            <w:tcW w:w="7459" w:type="dxa"/>
            <w:gridSpan w:val="3"/>
          </w:tcPr>
          <w:p>
            <w:pPr>
              <w:pStyle w:val="TableParagraph"/>
              <w:spacing w:before="15"/>
              <w:rPr>
                <w:rFonts w:ascii="方正小标宋简体"/>
                <w:sz w:val="14"/>
              </w:rPr>
            </w:pPr>
          </w:p>
          <w:p>
            <w:pPr>
              <w:pStyle w:val="TableParagraph"/>
              <w:spacing w:line="583" w:lineRule="auto"/>
              <w:ind w:left="107" w:right="95"/>
              <w:jc w:val="both"/>
              <w:rPr>
                <w:sz w:val="18"/>
              </w:rPr>
            </w:pPr>
            <w:r>
              <w:rPr>
                <w:spacing w:val="-11"/>
                <w:sz w:val="18"/>
              </w:rPr>
              <w:t>1</w:t>
            </w:r>
            <w:r>
              <w:rPr>
                <w:spacing w:val="-3"/>
                <w:sz w:val="18"/>
              </w:rPr>
              <w:t>.《中华人民 共和国城市房地产管理法</w:t>
            </w:r>
            <w:r>
              <w:rPr>
                <w:spacing w:val="-116"/>
                <w:sz w:val="18"/>
              </w:rPr>
              <w:t>》</w:t>
            </w:r>
            <w:r>
              <w:rPr>
                <w:sz w:val="18"/>
              </w:rPr>
              <w:t>（1994</w:t>
            </w:r>
            <w:r>
              <w:rPr>
                <w:spacing w:val="-1"/>
                <w:sz w:val="18"/>
              </w:rPr>
              <w:t> 年 </w:t>
            </w:r>
            <w:r>
              <w:rPr>
                <w:sz w:val="18"/>
              </w:rPr>
              <w:t>7 月 5</w:t>
            </w:r>
            <w:r>
              <w:rPr>
                <w:spacing w:val="-3"/>
                <w:sz w:val="18"/>
              </w:rPr>
              <w:t> 日第八届全国人民代表大会常务</w:t>
            </w:r>
            <w:r>
              <w:rPr>
                <w:spacing w:val="-5"/>
                <w:sz w:val="18"/>
              </w:rPr>
              <w:t>委员会第八次会议通过，根据 </w:t>
            </w:r>
            <w:r>
              <w:rPr>
                <w:sz w:val="18"/>
              </w:rPr>
              <w:t>2009 年 8</w:t>
            </w:r>
            <w:r>
              <w:rPr>
                <w:spacing w:val="-1"/>
                <w:sz w:val="18"/>
              </w:rPr>
              <w:t> 月 </w:t>
            </w:r>
            <w:r>
              <w:rPr>
                <w:sz w:val="18"/>
              </w:rPr>
              <w:t>27</w:t>
            </w:r>
            <w:r>
              <w:rPr>
                <w:spacing w:val="-2"/>
                <w:sz w:val="18"/>
              </w:rPr>
              <w:t> 日第十一届全国人民代表大会常务委员会第</w:t>
            </w:r>
            <w:r>
              <w:rPr>
                <w:sz w:val="18"/>
              </w:rPr>
              <w:t>十次会议《关于修改部分法律的决定》第二次修正）第三十八条、第四十五条；</w:t>
            </w:r>
            <w:r>
              <w:rPr>
                <w:spacing w:val="2"/>
                <w:sz w:val="18"/>
              </w:rPr>
              <w:t>2.</w:t>
            </w:r>
            <w:r>
              <w:rPr>
                <w:spacing w:val="-4"/>
                <w:sz w:val="18"/>
              </w:rPr>
              <w:t>《城市房</w:t>
            </w:r>
            <w:r>
              <w:rPr>
                <w:sz w:val="18"/>
              </w:rPr>
              <w:t>地产开发经营管理条例》(1998</w:t>
            </w:r>
            <w:r>
              <w:rPr>
                <w:spacing w:val="2"/>
                <w:sz w:val="18"/>
              </w:rPr>
              <w:t> 年 </w:t>
            </w:r>
            <w:r>
              <w:rPr>
                <w:sz w:val="18"/>
              </w:rPr>
              <w:t>7</w:t>
            </w:r>
            <w:r>
              <w:rPr>
                <w:spacing w:val="3"/>
                <w:sz w:val="18"/>
              </w:rPr>
              <w:t> 月 </w:t>
            </w:r>
            <w:r>
              <w:rPr>
                <w:sz w:val="18"/>
              </w:rPr>
              <w:t>20 日中华人民共和国国务院令第 248</w:t>
            </w:r>
            <w:r>
              <w:rPr>
                <w:spacing w:val="-2"/>
                <w:sz w:val="18"/>
              </w:rPr>
              <w:t> 号发布，根</w:t>
            </w:r>
          </w:p>
          <w:p>
            <w:pPr>
              <w:pStyle w:val="TableParagraph"/>
              <w:spacing w:line="229" w:lineRule="exact"/>
              <w:ind w:left="107"/>
              <w:jc w:val="both"/>
              <w:rPr>
                <w:sz w:val="18"/>
              </w:rPr>
            </w:pPr>
            <w:r>
              <w:rPr>
                <w:sz w:val="18"/>
              </w:rPr>
              <w:t>据 2011</w:t>
            </w:r>
            <w:r>
              <w:rPr>
                <w:spacing w:val="-1"/>
                <w:sz w:val="18"/>
              </w:rPr>
              <w:t> 年 </w:t>
            </w:r>
            <w:r>
              <w:rPr>
                <w:sz w:val="18"/>
              </w:rPr>
              <w:t>1 月 8</w:t>
            </w:r>
            <w:r>
              <w:rPr>
                <w:spacing w:val="-6"/>
                <w:sz w:val="18"/>
              </w:rPr>
              <w:t> 日《国务院关于废止和修改部分行政法规的决定》修订)第二十三条；</w:t>
            </w:r>
            <w:r>
              <w:rPr>
                <w:spacing w:val="-5"/>
                <w:sz w:val="18"/>
              </w:rPr>
              <w:t>3.</w:t>
            </w:r>
          </w:p>
          <w:p>
            <w:pPr>
              <w:pStyle w:val="TableParagraph"/>
              <w:spacing w:before="12"/>
              <w:rPr>
                <w:rFonts w:ascii="方正小标宋简体"/>
                <w:sz w:val="18"/>
              </w:rPr>
            </w:pPr>
          </w:p>
          <w:p>
            <w:pPr>
              <w:pStyle w:val="TableParagraph"/>
              <w:ind w:left="107"/>
              <w:jc w:val="both"/>
              <w:rPr>
                <w:sz w:val="18"/>
              </w:rPr>
            </w:pPr>
            <w:r>
              <w:rPr>
                <w:sz w:val="18"/>
              </w:rPr>
              <w:t>《城市商品房预售管理办法》（建设部令第 131 号）第七条；4.《山东省商品房销售条例》</w:t>
            </w:r>
          </w:p>
          <w:p>
            <w:pPr>
              <w:pStyle w:val="TableParagraph"/>
              <w:spacing w:line="560" w:lineRule="atLeast"/>
              <w:ind w:left="107" w:right="98"/>
              <w:jc w:val="both"/>
              <w:rPr>
                <w:sz w:val="18"/>
              </w:rPr>
            </w:pPr>
            <w:r>
              <w:rPr>
                <w:sz w:val="18"/>
              </w:rPr>
              <w:t>（2005 年 3 月 31 日山东省第十届人民代表大会常务委员会第十三次会议通过）第七条、第八条；5.《山东省商品房预售资金监管办法》（鲁建房字〔2017〕1 号）第九条。</w:t>
            </w:r>
          </w:p>
        </w:tc>
      </w:tr>
      <w:tr>
        <w:trPr>
          <w:trHeight w:val="1920" w:hRule="atLeast"/>
        </w:trPr>
        <w:tc>
          <w:tcPr>
            <w:tcW w:w="668" w:type="dxa"/>
          </w:tcPr>
          <w:p>
            <w:pPr>
              <w:pStyle w:val="TableParagraph"/>
              <w:rPr>
                <w:rFonts w:ascii="方正小标宋简体"/>
                <w:sz w:val="18"/>
              </w:rPr>
            </w:pPr>
          </w:p>
          <w:p>
            <w:pPr>
              <w:pStyle w:val="TableParagraph"/>
              <w:rPr>
                <w:rFonts w:ascii="方正小标宋简体"/>
                <w:sz w:val="18"/>
              </w:rPr>
            </w:pPr>
          </w:p>
          <w:p>
            <w:pPr>
              <w:pStyle w:val="TableParagraph"/>
              <w:spacing w:before="4"/>
              <w:rPr>
                <w:rFonts w:ascii="方正小标宋简体"/>
                <w:sz w:val="17"/>
              </w:rPr>
            </w:pPr>
          </w:p>
          <w:p>
            <w:pPr>
              <w:pStyle w:val="TableParagraph"/>
              <w:spacing w:before="1"/>
              <w:ind w:left="7"/>
              <w:jc w:val="center"/>
              <w:rPr>
                <w:sz w:val="18"/>
              </w:rPr>
            </w:pPr>
            <w:r>
              <w:rPr>
                <w:sz w:val="18"/>
              </w:rPr>
              <w:t>9</w:t>
            </w:r>
          </w:p>
        </w:tc>
        <w:tc>
          <w:tcPr>
            <w:tcW w:w="1831" w:type="dxa"/>
          </w:tcPr>
          <w:p>
            <w:pPr>
              <w:pStyle w:val="TableParagraph"/>
              <w:rPr>
                <w:rFonts w:ascii="方正小标宋简体"/>
                <w:sz w:val="18"/>
              </w:rPr>
            </w:pPr>
          </w:p>
          <w:p>
            <w:pPr>
              <w:pStyle w:val="TableParagraph"/>
              <w:rPr>
                <w:rFonts w:ascii="方正小标宋简体"/>
                <w:sz w:val="18"/>
              </w:rPr>
            </w:pPr>
          </w:p>
          <w:p>
            <w:pPr>
              <w:pStyle w:val="TableParagraph"/>
              <w:spacing w:before="4"/>
              <w:rPr>
                <w:rFonts w:ascii="方正小标宋简体"/>
                <w:sz w:val="17"/>
              </w:rPr>
            </w:pPr>
          </w:p>
          <w:p>
            <w:pPr>
              <w:pStyle w:val="TableParagraph"/>
              <w:spacing w:before="1"/>
              <w:ind w:left="173" w:right="167"/>
              <w:jc w:val="center"/>
              <w:rPr>
                <w:sz w:val="18"/>
              </w:rPr>
            </w:pPr>
            <w:r>
              <w:rPr>
                <w:sz w:val="18"/>
              </w:rPr>
              <w:t>办理流程</w:t>
            </w:r>
          </w:p>
        </w:tc>
        <w:tc>
          <w:tcPr>
            <w:tcW w:w="7459" w:type="dxa"/>
            <w:gridSpan w:val="3"/>
          </w:tcPr>
          <w:p>
            <w:pPr>
              <w:pStyle w:val="TableParagraph"/>
              <w:spacing w:before="3"/>
              <w:rPr>
                <w:rFonts w:ascii="方正小标宋简体"/>
                <w:sz w:val="11"/>
              </w:rPr>
            </w:pPr>
          </w:p>
          <w:p>
            <w:pPr>
              <w:pStyle w:val="TableParagraph"/>
              <w:ind w:left="107"/>
              <w:rPr>
                <w:sz w:val="18"/>
              </w:rPr>
            </w:pPr>
            <w:r>
              <w:rPr>
                <w:sz w:val="18"/>
              </w:rPr>
              <w:t>1.申请</w:t>
            </w:r>
          </w:p>
          <w:p>
            <w:pPr>
              <w:pStyle w:val="TableParagraph"/>
              <w:spacing w:before="2"/>
              <w:rPr>
                <w:rFonts w:ascii="方正小标宋简体"/>
                <w:sz w:val="14"/>
              </w:rPr>
            </w:pPr>
          </w:p>
          <w:p>
            <w:pPr>
              <w:pStyle w:val="TableParagraph"/>
              <w:spacing w:line="499" w:lineRule="auto"/>
              <w:ind w:left="107" w:right="3379"/>
              <w:rPr>
                <w:sz w:val="18"/>
              </w:rPr>
            </w:pPr>
            <w:r>
              <w:rPr>
                <w:spacing w:val="-1"/>
                <w:sz w:val="18"/>
              </w:rPr>
              <w:t>申请人登陆山东政务服务网，填报提交申请材料。</w:t>
            </w:r>
            <w:r>
              <w:rPr>
                <w:sz w:val="18"/>
              </w:rPr>
              <w:t>2.受理</w:t>
            </w:r>
          </w:p>
          <w:p>
            <w:pPr>
              <w:pStyle w:val="TableParagraph"/>
              <w:spacing w:before="1"/>
              <w:ind w:left="107"/>
              <w:rPr>
                <w:sz w:val="18"/>
              </w:rPr>
            </w:pPr>
            <w:r>
              <w:rPr>
                <w:sz w:val="18"/>
              </w:rPr>
              <w:t>（1）对申请材料是否齐全，是否符合法定形式，是否填写规范完整等进行审核。</w:t>
            </w:r>
          </w:p>
        </w:tc>
      </w:tr>
    </w:tbl>
    <w:p>
      <w:pPr>
        <w:spacing w:after="0"/>
        <w:rPr>
          <w:sz w:val="18"/>
        </w:rPr>
        <w:sectPr>
          <w:pgSz w:w="11910" w:h="16840"/>
          <w:pgMar w:header="0" w:footer="1613" w:top="1120" w:bottom="1800" w:left="860" w:right="620"/>
        </w:sect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8"/>
        <w:gridCol w:w="1831"/>
        <w:gridCol w:w="7461"/>
      </w:tblGrid>
      <w:tr>
        <w:trPr>
          <w:trHeight w:val="3842" w:hRule="atLeast"/>
        </w:trPr>
        <w:tc>
          <w:tcPr>
            <w:tcW w:w="668" w:type="dxa"/>
          </w:tcPr>
          <w:p>
            <w:pPr>
              <w:pStyle w:val="TableParagraph"/>
              <w:rPr>
                <w:rFonts w:ascii="Times New Roman"/>
                <w:sz w:val="18"/>
              </w:rPr>
            </w:pPr>
          </w:p>
        </w:tc>
        <w:tc>
          <w:tcPr>
            <w:tcW w:w="1831" w:type="dxa"/>
          </w:tcPr>
          <w:p>
            <w:pPr>
              <w:pStyle w:val="TableParagraph"/>
              <w:rPr>
                <w:rFonts w:ascii="Times New Roman"/>
                <w:sz w:val="18"/>
              </w:rPr>
            </w:pPr>
          </w:p>
        </w:tc>
        <w:tc>
          <w:tcPr>
            <w:tcW w:w="7461" w:type="dxa"/>
          </w:tcPr>
          <w:p>
            <w:pPr>
              <w:pStyle w:val="TableParagraph"/>
              <w:spacing w:before="5"/>
              <w:rPr>
                <w:rFonts w:ascii="方正小标宋简体"/>
                <w:sz w:val="11"/>
              </w:rPr>
            </w:pPr>
          </w:p>
          <w:p>
            <w:pPr>
              <w:pStyle w:val="TableParagraph"/>
              <w:spacing w:line="499" w:lineRule="auto" w:before="1"/>
              <w:ind w:left="107" w:right="589"/>
              <w:rPr>
                <w:sz w:val="18"/>
              </w:rPr>
            </w:pPr>
            <w:r>
              <w:rPr>
                <w:sz w:val="18"/>
              </w:rPr>
              <w:t>（2）</w:t>
            </w:r>
            <w:r>
              <w:rPr>
                <w:spacing w:val="-1"/>
                <w:sz w:val="18"/>
              </w:rPr>
              <w:t>实地现场勘察，对项目位置、房屋建筑建设进度进行实地勘察并出具勘察意见。</w:t>
            </w:r>
            <w:r>
              <w:rPr>
                <w:sz w:val="18"/>
              </w:rPr>
              <w:t>3.审查</w:t>
            </w:r>
          </w:p>
          <w:p>
            <w:pPr>
              <w:pStyle w:val="TableParagraph"/>
              <w:spacing w:line="499" w:lineRule="auto" w:before="1"/>
              <w:ind w:left="107" w:right="2841"/>
              <w:rPr>
                <w:sz w:val="18"/>
              </w:rPr>
            </w:pPr>
            <w:r>
              <w:rPr>
                <w:spacing w:val="-1"/>
                <w:sz w:val="18"/>
              </w:rPr>
              <w:t>对申请资料、现场踏勘意见进行审核，并出具审查意见。</w:t>
            </w:r>
            <w:r>
              <w:rPr>
                <w:sz w:val="18"/>
              </w:rPr>
              <w:t>4.决定</w:t>
            </w:r>
          </w:p>
          <w:p>
            <w:pPr>
              <w:pStyle w:val="TableParagraph"/>
              <w:spacing w:line="499" w:lineRule="auto"/>
              <w:ind w:left="107" w:right="100"/>
              <w:rPr>
                <w:sz w:val="18"/>
              </w:rPr>
            </w:pPr>
            <w:r>
              <w:rPr>
                <w:spacing w:val="-9"/>
                <w:sz w:val="18"/>
              </w:rPr>
              <w:t>根据审查情况，准予决定的，制作《商品房预售许可证》，不准予决定的，制作《不准予决定</w:t>
            </w:r>
            <w:r>
              <w:rPr>
                <w:spacing w:val="-31"/>
                <w:sz w:val="18"/>
              </w:rPr>
              <w:t>书》。</w:t>
            </w:r>
          </w:p>
          <w:p>
            <w:pPr>
              <w:pStyle w:val="TableParagraph"/>
              <w:spacing w:before="1"/>
              <w:ind w:left="107"/>
              <w:rPr>
                <w:sz w:val="18"/>
              </w:rPr>
            </w:pPr>
            <w:r>
              <w:rPr>
                <w:sz w:val="18"/>
              </w:rPr>
              <w:t>5．送达</w:t>
            </w:r>
          </w:p>
          <w:p>
            <w:pPr>
              <w:pStyle w:val="TableParagraph"/>
              <w:spacing w:before="1"/>
              <w:rPr>
                <w:rFonts w:ascii="方正小标宋简体"/>
                <w:sz w:val="14"/>
              </w:rPr>
            </w:pPr>
          </w:p>
          <w:p>
            <w:pPr>
              <w:pStyle w:val="TableParagraph"/>
              <w:ind w:left="107"/>
              <w:rPr>
                <w:sz w:val="18"/>
              </w:rPr>
            </w:pPr>
            <w:r>
              <w:rPr>
                <w:sz w:val="18"/>
              </w:rPr>
              <w:t>即时向申请人颁发、送达《商品房预售许可证》。</w:t>
            </w:r>
          </w:p>
        </w:tc>
      </w:tr>
      <w:tr>
        <w:trPr>
          <w:trHeight w:val="2798" w:hRule="atLeast"/>
        </w:trPr>
        <w:tc>
          <w:tcPr>
            <w:tcW w:w="668" w:type="dxa"/>
          </w:tcPr>
          <w:p>
            <w:pPr>
              <w:pStyle w:val="TableParagraph"/>
              <w:rPr>
                <w:rFonts w:ascii="方正小标宋简体"/>
                <w:sz w:val="18"/>
              </w:rPr>
            </w:pPr>
          </w:p>
          <w:p>
            <w:pPr>
              <w:pStyle w:val="TableParagraph"/>
              <w:rPr>
                <w:rFonts w:ascii="方正小标宋简体"/>
                <w:sz w:val="18"/>
              </w:rPr>
            </w:pPr>
          </w:p>
          <w:p>
            <w:pPr>
              <w:pStyle w:val="TableParagraph"/>
              <w:rPr>
                <w:rFonts w:ascii="方正小标宋简体"/>
                <w:sz w:val="18"/>
              </w:rPr>
            </w:pPr>
          </w:p>
          <w:p>
            <w:pPr>
              <w:pStyle w:val="TableParagraph"/>
              <w:spacing w:before="1"/>
              <w:rPr>
                <w:rFonts w:ascii="方正小标宋简体"/>
                <w:sz w:val="24"/>
              </w:rPr>
            </w:pPr>
          </w:p>
          <w:p>
            <w:pPr>
              <w:pStyle w:val="TableParagraph"/>
              <w:ind w:left="242"/>
              <w:rPr>
                <w:sz w:val="18"/>
              </w:rPr>
            </w:pPr>
            <w:r>
              <w:rPr>
                <w:sz w:val="18"/>
              </w:rPr>
              <w:t>10</w:t>
            </w:r>
          </w:p>
        </w:tc>
        <w:tc>
          <w:tcPr>
            <w:tcW w:w="1831" w:type="dxa"/>
          </w:tcPr>
          <w:p>
            <w:pPr>
              <w:pStyle w:val="TableParagraph"/>
              <w:rPr>
                <w:rFonts w:ascii="方正小标宋简体"/>
                <w:sz w:val="18"/>
              </w:rPr>
            </w:pPr>
          </w:p>
          <w:p>
            <w:pPr>
              <w:pStyle w:val="TableParagraph"/>
              <w:rPr>
                <w:rFonts w:ascii="方正小标宋简体"/>
                <w:sz w:val="18"/>
              </w:rPr>
            </w:pPr>
          </w:p>
          <w:p>
            <w:pPr>
              <w:pStyle w:val="TableParagraph"/>
              <w:spacing w:before="6"/>
              <w:rPr>
                <w:rFonts w:ascii="方正小标宋简体"/>
                <w:sz w:val="26"/>
              </w:rPr>
            </w:pPr>
          </w:p>
          <w:p>
            <w:pPr>
              <w:pStyle w:val="TableParagraph"/>
              <w:ind w:left="173" w:right="167"/>
              <w:jc w:val="center"/>
              <w:rPr>
                <w:sz w:val="18"/>
              </w:rPr>
            </w:pPr>
            <w:r>
              <w:rPr>
                <w:sz w:val="18"/>
              </w:rPr>
              <w:t>材料实质审查要点</w:t>
            </w:r>
          </w:p>
          <w:p>
            <w:pPr>
              <w:pStyle w:val="TableParagraph"/>
              <w:spacing w:before="10"/>
              <w:rPr>
                <w:rFonts w:ascii="方正小标宋简体"/>
                <w:sz w:val="18"/>
              </w:rPr>
            </w:pPr>
          </w:p>
          <w:p>
            <w:pPr>
              <w:pStyle w:val="TableParagraph"/>
              <w:ind w:left="173" w:right="167"/>
              <w:jc w:val="center"/>
              <w:rPr>
                <w:sz w:val="18"/>
              </w:rPr>
            </w:pPr>
            <w:r>
              <w:rPr>
                <w:sz w:val="18"/>
              </w:rPr>
              <w:t>（时限）</w:t>
            </w:r>
          </w:p>
        </w:tc>
        <w:tc>
          <w:tcPr>
            <w:tcW w:w="7461" w:type="dxa"/>
          </w:tcPr>
          <w:p>
            <w:pPr>
              <w:pStyle w:val="TableParagraph"/>
              <w:spacing w:before="15"/>
              <w:rPr>
                <w:rFonts w:ascii="方正小标宋简体"/>
                <w:sz w:val="14"/>
              </w:rPr>
            </w:pPr>
          </w:p>
          <w:p>
            <w:pPr>
              <w:pStyle w:val="TableParagraph"/>
              <w:spacing w:line="583" w:lineRule="auto"/>
              <w:ind w:left="107" w:right="48"/>
              <w:jc w:val="both"/>
              <w:rPr>
                <w:sz w:val="18"/>
              </w:rPr>
            </w:pPr>
            <w:r>
              <w:rPr>
                <w:spacing w:val="-13"/>
                <w:sz w:val="18"/>
              </w:rPr>
              <w:t>根据《城市商品房预售管理办法》、《山东省商品房销售条例》进行实质审查</w:t>
            </w:r>
            <w:r>
              <w:rPr>
                <w:spacing w:val="1"/>
                <w:sz w:val="18"/>
              </w:rPr>
              <w:t>（</w:t>
            </w:r>
            <w:r>
              <w:rPr>
                <w:sz w:val="18"/>
              </w:rPr>
              <w:t>1 个工作日</w:t>
            </w:r>
            <w:r>
              <w:rPr>
                <w:spacing w:val="-99"/>
                <w:sz w:val="18"/>
              </w:rPr>
              <w:t>）</w:t>
            </w:r>
            <w:r>
              <w:rPr>
                <w:spacing w:val="-7"/>
                <w:sz w:val="18"/>
              </w:rPr>
              <w:t>：</w:t>
            </w:r>
            <w:r>
              <w:rPr>
                <w:sz w:val="18"/>
              </w:rPr>
              <w:t> 1.申请表填写内容与申请事项一致；2.证载信息与申请事项一致；3.基础验收五方责任主体信息与施工许可证一致；4.预售方案须明确销售价格、公建所有权、交付标准等内容；</w:t>
            </w:r>
            <w:r>
              <w:rPr>
                <w:spacing w:val="2"/>
                <w:sz w:val="18"/>
              </w:rPr>
              <w:t>5</w:t>
            </w:r>
            <w:r>
              <w:rPr>
                <w:spacing w:val="1"/>
                <w:sz w:val="18"/>
              </w:rPr>
              <w:t>.物业合同须明确收费标准、服务期限等内容；6.资金监管协议中监管面积和楼栋信息与申请信</w:t>
            </w:r>
          </w:p>
          <w:p>
            <w:pPr>
              <w:pStyle w:val="TableParagraph"/>
              <w:spacing w:line="229" w:lineRule="exact"/>
              <w:ind w:left="107"/>
              <w:rPr>
                <w:sz w:val="18"/>
              </w:rPr>
            </w:pPr>
            <w:r>
              <w:rPr>
                <w:sz w:val="18"/>
              </w:rPr>
              <w:t>息一致；7.测绘报告与申请信息一致。</w:t>
            </w:r>
          </w:p>
        </w:tc>
      </w:tr>
      <w:tr>
        <w:trPr>
          <w:trHeight w:val="561" w:hRule="atLeast"/>
        </w:trPr>
        <w:tc>
          <w:tcPr>
            <w:tcW w:w="668" w:type="dxa"/>
          </w:tcPr>
          <w:p>
            <w:pPr>
              <w:pStyle w:val="TableParagraph"/>
              <w:spacing w:before="17"/>
              <w:rPr>
                <w:rFonts w:ascii="方正小标宋简体"/>
                <w:sz w:val="14"/>
              </w:rPr>
            </w:pPr>
          </w:p>
          <w:p>
            <w:pPr>
              <w:pStyle w:val="TableParagraph"/>
              <w:ind w:left="242"/>
              <w:rPr>
                <w:sz w:val="18"/>
              </w:rPr>
            </w:pPr>
            <w:r>
              <w:rPr>
                <w:sz w:val="18"/>
              </w:rPr>
              <w:t>11</w:t>
            </w:r>
          </w:p>
        </w:tc>
        <w:tc>
          <w:tcPr>
            <w:tcW w:w="1831" w:type="dxa"/>
          </w:tcPr>
          <w:p>
            <w:pPr>
              <w:pStyle w:val="TableParagraph"/>
              <w:spacing w:before="17"/>
              <w:rPr>
                <w:rFonts w:ascii="方正小标宋简体"/>
                <w:sz w:val="14"/>
              </w:rPr>
            </w:pPr>
          </w:p>
          <w:p>
            <w:pPr>
              <w:pStyle w:val="TableParagraph"/>
              <w:ind w:right="228"/>
              <w:jc w:val="right"/>
              <w:rPr>
                <w:sz w:val="18"/>
              </w:rPr>
            </w:pPr>
            <w:r>
              <w:rPr>
                <w:sz w:val="18"/>
              </w:rPr>
              <w:t>审图要点(时限）</w:t>
            </w:r>
          </w:p>
        </w:tc>
        <w:tc>
          <w:tcPr>
            <w:tcW w:w="7461" w:type="dxa"/>
          </w:tcPr>
          <w:p>
            <w:pPr>
              <w:pStyle w:val="TableParagraph"/>
              <w:spacing w:before="17"/>
              <w:rPr>
                <w:rFonts w:ascii="方正小标宋简体"/>
                <w:sz w:val="14"/>
              </w:rPr>
            </w:pPr>
          </w:p>
          <w:p>
            <w:pPr>
              <w:pStyle w:val="TableParagraph"/>
              <w:ind w:left="107"/>
              <w:rPr>
                <w:sz w:val="18"/>
              </w:rPr>
            </w:pPr>
            <w:r>
              <w:rPr>
                <w:sz w:val="18"/>
              </w:rPr>
              <w:t>不涉及</w:t>
            </w:r>
          </w:p>
        </w:tc>
      </w:tr>
      <w:tr>
        <w:trPr>
          <w:trHeight w:val="1120" w:hRule="atLeast"/>
        </w:trPr>
        <w:tc>
          <w:tcPr>
            <w:tcW w:w="668" w:type="dxa"/>
          </w:tcPr>
          <w:p>
            <w:pPr>
              <w:pStyle w:val="TableParagraph"/>
              <w:rPr>
                <w:rFonts w:ascii="方正小标宋简体"/>
                <w:sz w:val="18"/>
              </w:rPr>
            </w:pPr>
          </w:p>
          <w:p>
            <w:pPr>
              <w:pStyle w:val="TableParagraph"/>
              <w:spacing w:before="12"/>
              <w:rPr>
                <w:rFonts w:ascii="方正小标宋简体"/>
                <w:sz w:val="12"/>
              </w:rPr>
            </w:pPr>
          </w:p>
          <w:p>
            <w:pPr>
              <w:pStyle w:val="TableParagraph"/>
              <w:spacing w:before="1"/>
              <w:ind w:left="242"/>
              <w:rPr>
                <w:sz w:val="18"/>
              </w:rPr>
            </w:pPr>
            <w:r>
              <w:rPr>
                <w:sz w:val="18"/>
              </w:rPr>
              <w:t>12</w:t>
            </w:r>
          </w:p>
        </w:tc>
        <w:tc>
          <w:tcPr>
            <w:tcW w:w="1831" w:type="dxa"/>
          </w:tcPr>
          <w:p>
            <w:pPr>
              <w:pStyle w:val="TableParagraph"/>
              <w:spacing w:before="15"/>
              <w:rPr>
                <w:rFonts w:ascii="方正小标宋简体"/>
                <w:sz w:val="14"/>
              </w:rPr>
            </w:pPr>
          </w:p>
          <w:p>
            <w:pPr>
              <w:pStyle w:val="TableParagraph"/>
              <w:ind w:left="173" w:right="167"/>
              <w:jc w:val="center"/>
              <w:rPr>
                <w:sz w:val="18"/>
              </w:rPr>
            </w:pPr>
            <w:r>
              <w:rPr>
                <w:sz w:val="18"/>
              </w:rPr>
              <w:t>现场踏勘要点</w:t>
            </w:r>
          </w:p>
          <w:p>
            <w:pPr>
              <w:pStyle w:val="TableParagraph"/>
              <w:spacing w:before="10"/>
              <w:rPr>
                <w:rFonts w:ascii="方正小标宋简体"/>
                <w:sz w:val="18"/>
              </w:rPr>
            </w:pPr>
          </w:p>
          <w:p>
            <w:pPr>
              <w:pStyle w:val="TableParagraph"/>
              <w:ind w:left="173" w:right="167"/>
              <w:jc w:val="center"/>
              <w:rPr>
                <w:sz w:val="18"/>
              </w:rPr>
            </w:pPr>
            <w:r>
              <w:rPr>
                <w:sz w:val="18"/>
              </w:rPr>
              <w:t>（时限）</w:t>
            </w:r>
          </w:p>
        </w:tc>
        <w:tc>
          <w:tcPr>
            <w:tcW w:w="7461" w:type="dxa"/>
          </w:tcPr>
          <w:p>
            <w:pPr>
              <w:pStyle w:val="TableParagraph"/>
              <w:spacing w:before="15"/>
              <w:rPr>
                <w:rFonts w:ascii="方正小标宋简体"/>
                <w:sz w:val="14"/>
              </w:rPr>
            </w:pPr>
          </w:p>
          <w:p>
            <w:pPr>
              <w:pStyle w:val="TableParagraph"/>
              <w:ind w:left="107"/>
              <w:rPr>
                <w:sz w:val="18"/>
              </w:rPr>
            </w:pPr>
            <w:r>
              <w:rPr>
                <w:sz w:val="18"/>
              </w:rPr>
              <w:t>1.</w:t>
            </w:r>
            <w:r>
              <w:rPr>
                <w:spacing w:val="-2"/>
                <w:sz w:val="18"/>
              </w:rPr>
              <w:t>项目位置是否与总体平面规划图一致；</w:t>
            </w:r>
            <w:r>
              <w:rPr>
                <w:spacing w:val="-8"/>
                <w:sz w:val="18"/>
              </w:rPr>
              <w:t>2.</w:t>
            </w:r>
            <w:r>
              <w:rPr>
                <w:spacing w:val="-1"/>
                <w:sz w:val="18"/>
              </w:rPr>
              <w:t>房屋建筑工程建设进度是否符合要求</w:t>
            </w:r>
            <w:r>
              <w:rPr>
                <w:spacing w:val="-116"/>
                <w:sz w:val="18"/>
              </w:rPr>
              <w:t>。</w:t>
            </w:r>
            <w:r>
              <w:rPr>
                <w:sz w:val="18"/>
              </w:rPr>
              <w:t>（1 个工作</w:t>
            </w:r>
          </w:p>
          <w:p>
            <w:pPr>
              <w:pStyle w:val="TableParagraph"/>
              <w:spacing w:before="10"/>
              <w:rPr>
                <w:rFonts w:ascii="方正小标宋简体"/>
                <w:sz w:val="18"/>
              </w:rPr>
            </w:pPr>
          </w:p>
          <w:p>
            <w:pPr>
              <w:pStyle w:val="TableParagraph"/>
              <w:ind w:left="107"/>
              <w:rPr>
                <w:sz w:val="18"/>
              </w:rPr>
            </w:pPr>
            <w:r>
              <w:rPr>
                <w:sz w:val="18"/>
              </w:rPr>
              <w:t>日）</w:t>
            </w:r>
          </w:p>
        </w:tc>
      </w:tr>
      <w:tr>
        <w:trPr>
          <w:trHeight w:val="1120" w:hRule="atLeast"/>
        </w:trPr>
        <w:tc>
          <w:tcPr>
            <w:tcW w:w="668" w:type="dxa"/>
          </w:tcPr>
          <w:p>
            <w:pPr>
              <w:pStyle w:val="TableParagraph"/>
              <w:rPr>
                <w:rFonts w:ascii="方正小标宋简体"/>
                <w:sz w:val="18"/>
              </w:rPr>
            </w:pPr>
          </w:p>
          <w:p>
            <w:pPr>
              <w:pStyle w:val="TableParagraph"/>
              <w:spacing w:before="12"/>
              <w:rPr>
                <w:rFonts w:ascii="方正小标宋简体"/>
                <w:sz w:val="12"/>
              </w:rPr>
            </w:pPr>
          </w:p>
          <w:p>
            <w:pPr>
              <w:pStyle w:val="TableParagraph"/>
              <w:spacing w:before="1"/>
              <w:ind w:left="242"/>
              <w:rPr>
                <w:sz w:val="18"/>
              </w:rPr>
            </w:pPr>
            <w:r>
              <w:rPr>
                <w:sz w:val="18"/>
              </w:rPr>
              <w:t>13</w:t>
            </w:r>
          </w:p>
        </w:tc>
        <w:tc>
          <w:tcPr>
            <w:tcW w:w="1831" w:type="dxa"/>
          </w:tcPr>
          <w:p>
            <w:pPr>
              <w:pStyle w:val="TableParagraph"/>
              <w:spacing w:before="15"/>
              <w:rPr>
                <w:rFonts w:ascii="方正小标宋简体"/>
                <w:sz w:val="14"/>
              </w:rPr>
            </w:pPr>
          </w:p>
          <w:p>
            <w:pPr>
              <w:pStyle w:val="TableParagraph"/>
              <w:ind w:left="193"/>
              <w:rPr>
                <w:sz w:val="18"/>
              </w:rPr>
            </w:pPr>
            <w:r>
              <w:rPr>
                <w:sz w:val="18"/>
              </w:rPr>
              <w:t>需请专家评审或社</w:t>
            </w:r>
          </w:p>
          <w:p>
            <w:pPr>
              <w:pStyle w:val="TableParagraph"/>
              <w:spacing w:before="10"/>
              <w:rPr>
                <w:rFonts w:ascii="方正小标宋简体"/>
                <w:sz w:val="18"/>
              </w:rPr>
            </w:pPr>
          </w:p>
          <w:p>
            <w:pPr>
              <w:pStyle w:val="TableParagraph"/>
              <w:ind w:left="107"/>
              <w:rPr>
                <w:sz w:val="18"/>
              </w:rPr>
            </w:pPr>
            <w:r>
              <w:rPr>
                <w:sz w:val="18"/>
              </w:rPr>
              <w:t>会听证要点（时限）</w:t>
            </w:r>
          </w:p>
        </w:tc>
        <w:tc>
          <w:tcPr>
            <w:tcW w:w="7461" w:type="dxa"/>
          </w:tcPr>
          <w:p>
            <w:pPr>
              <w:pStyle w:val="TableParagraph"/>
              <w:rPr>
                <w:rFonts w:ascii="方正小标宋简体"/>
                <w:sz w:val="18"/>
              </w:rPr>
            </w:pPr>
          </w:p>
          <w:p>
            <w:pPr>
              <w:pStyle w:val="TableParagraph"/>
              <w:spacing w:before="12"/>
              <w:rPr>
                <w:rFonts w:ascii="方正小标宋简体"/>
                <w:sz w:val="12"/>
              </w:rPr>
            </w:pPr>
          </w:p>
          <w:p>
            <w:pPr>
              <w:pStyle w:val="TableParagraph"/>
              <w:spacing w:before="1"/>
              <w:ind w:left="107"/>
              <w:rPr>
                <w:sz w:val="18"/>
              </w:rPr>
            </w:pPr>
            <w:r>
              <w:rPr>
                <w:sz w:val="18"/>
              </w:rPr>
              <w:t>不涉及</w:t>
            </w:r>
          </w:p>
        </w:tc>
      </w:tr>
      <w:tr>
        <w:trPr>
          <w:trHeight w:val="1117" w:hRule="atLeast"/>
        </w:trPr>
        <w:tc>
          <w:tcPr>
            <w:tcW w:w="668" w:type="dxa"/>
          </w:tcPr>
          <w:p>
            <w:pPr>
              <w:pStyle w:val="TableParagraph"/>
              <w:rPr>
                <w:rFonts w:ascii="方正小标宋简体"/>
                <w:sz w:val="18"/>
              </w:rPr>
            </w:pPr>
          </w:p>
          <w:p>
            <w:pPr>
              <w:pStyle w:val="TableParagraph"/>
              <w:spacing w:before="10"/>
              <w:rPr>
                <w:rFonts w:ascii="方正小标宋简体"/>
                <w:sz w:val="12"/>
              </w:rPr>
            </w:pPr>
          </w:p>
          <w:p>
            <w:pPr>
              <w:pStyle w:val="TableParagraph"/>
              <w:ind w:left="242"/>
              <w:rPr>
                <w:sz w:val="18"/>
              </w:rPr>
            </w:pPr>
            <w:r>
              <w:rPr>
                <w:sz w:val="18"/>
              </w:rPr>
              <w:t>14</w:t>
            </w:r>
          </w:p>
        </w:tc>
        <w:tc>
          <w:tcPr>
            <w:tcW w:w="1831" w:type="dxa"/>
          </w:tcPr>
          <w:p>
            <w:pPr>
              <w:pStyle w:val="TableParagraph"/>
              <w:spacing w:before="15"/>
              <w:rPr>
                <w:rFonts w:ascii="方正小标宋简体"/>
                <w:sz w:val="14"/>
              </w:rPr>
            </w:pPr>
          </w:p>
          <w:p>
            <w:pPr>
              <w:pStyle w:val="TableParagraph"/>
              <w:ind w:left="173" w:right="167"/>
              <w:jc w:val="center"/>
              <w:rPr>
                <w:sz w:val="18"/>
              </w:rPr>
            </w:pPr>
            <w:r>
              <w:rPr>
                <w:sz w:val="18"/>
              </w:rPr>
              <w:t>审批决定方式</w:t>
            </w:r>
          </w:p>
          <w:p>
            <w:pPr>
              <w:pStyle w:val="TableParagraph"/>
              <w:spacing w:before="10"/>
              <w:rPr>
                <w:rFonts w:ascii="方正小标宋简体"/>
                <w:sz w:val="18"/>
              </w:rPr>
            </w:pPr>
          </w:p>
          <w:p>
            <w:pPr>
              <w:pStyle w:val="TableParagraph"/>
              <w:ind w:left="173" w:right="167"/>
              <w:jc w:val="center"/>
              <w:rPr>
                <w:sz w:val="18"/>
              </w:rPr>
            </w:pPr>
            <w:r>
              <w:rPr>
                <w:sz w:val="18"/>
              </w:rPr>
              <w:t>（时限）</w:t>
            </w:r>
          </w:p>
        </w:tc>
        <w:tc>
          <w:tcPr>
            <w:tcW w:w="7461" w:type="dxa"/>
          </w:tcPr>
          <w:p>
            <w:pPr>
              <w:pStyle w:val="TableParagraph"/>
              <w:rPr>
                <w:rFonts w:ascii="方正小标宋简体"/>
                <w:sz w:val="18"/>
              </w:rPr>
            </w:pPr>
          </w:p>
          <w:p>
            <w:pPr>
              <w:pStyle w:val="TableParagraph"/>
              <w:spacing w:before="10"/>
              <w:rPr>
                <w:rFonts w:ascii="方正小标宋简体"/>
                <w:sz w:val="12"/>
              </w:rPr>
            </w:pPr>
          </w:p>
          <w:p>
            <w:pPr>
              <w:pStyle w:val="TableParagraph"/>
              <w:ind w:left="107"/>
              <w:rPr>
                <w:sz w:val="18"/>
              </w:rPr>
            </w:pPr>
            <w:r>
              <w:rPr>
                <w:sz w:val="18"/>
              </w:rPr>
              <w:t>逐一列明决定的具体环节（1 个工作日）</w:t>
            </w:r>
          </w:p>
        </w:tc>
      </w:tr>
      <w:tr>
        <w:trPr>
          <w:trHeight w:val="561" w:hRule="atLeast"/>
        </w:trPr>
        <w:tc>
          <w:tcPr>
            <w:tcW w:w="668" w:type="dxa"/>
          </w:tcPr>
          <w:p>
            <w:pPr>
              <w:pStyle w:val="TableParagraph"/>
              <w:spacing w:before="17"/>
              <w:rPr>
                <w:rFonts w:ascii="方正小标宋简体"/>
                <w:sz w:val="14"/>
              </w:rPr>
            </w:pPr>
          </w:p>
          <w:p>
            <w:pPr>
              <w:pStyle w:val="TableParagraph"/>
              <w:ind w:left="242"/>
              <w:rPr>
                <w:sz w:val="18"/>
              </w:rPr>
            </w:pPr>
            <w:r>
              <w:rPr>
                <w:sz w:val="18"/>
              </w:rPr>
              <w:t>15</w:t>
            </w:r>
          </w:p>
        </w:tc>
        <w:tc>
          <w:tcPr>
            <w:tcW w:w="1831" w:type="dxa"/>
          </w:tcPr>
          <w:p>
            <w:pPr>
              <w:pStyle w:val="TableParagraph"/>
              <w:spacing w:before="17"/>
              <w:rPr>
                <w:rFonts w:ascii="方正小标宋简体"/>
                <w:sz w:val="14"/>
              </w:rPr>
            </w:pPr>
          </w:p>
          <w:p>
            <w:pPr>
              <w:pStyle w:val="TableParagraph"/>
              <w:ind w:right="273"/>
              <w:jc w:val="right"/>
              <w:rPr>
                <w:sz w:val="18"/>
              </w:rPr>
            </w:pPr>
            <w:r>
              <w:rPr>
                <w:sz w:val="18"/>
              </w:rPr>
              <w:t>收费依据及标准</w:t>
            </w:r>
          </w:p>
        </w:tc>
        <w:tc>
          <w:tcPr>
            <w:tcW w:w="7461" w:type="dxa"/>
          </w:tcPr>
          <w:p>
            <w:pPr>
              <w:pStyle w:val="TableParagraph"/>
              <w:spacing w:before="17"/>
              <w:rPr>
                <w:rFonts w:ascii="方正小标宋简体"/>
                <w:sz w:val="14"/>
              </w:rPr>
            </w:pPr>
          </w:p>
          <w:p>
            <w:pPr>
              <w:pStyle w:val="TableParagraph"/>
              <w:ind w:left="107"/>
              <w:rPr>
                <w:sz w:val="18"/>
              </w:rPr>
            </w:pPr>
            <w:r>
              <w:rPr>
                <w:sz w:val="18"/>
              </w:rPr>
              <w:t>无</w:t>
            </w:r>
          </w:p>
        </w:tc>
      </w:tr>
      <w:tr>
        <w:trPr>
          <w:trHeight w:val="558" w:hRule="atLeast"/>
        </w:trPr>
        <w:tc>
          <w:tcPr>
            <w:tcW w:w="668" w:type="dxa"/>
          </w:tcPr>
          <w:p>
            <w:pPr>
              <w:pStyle w:val="TableParagraph"/>
              <w:spacing w:before="15"/>
              <w:rPr>
                <w:rFonts w:ascii="方正小标宋简体"/>
                <w:sz w:val="14"/>
              </w:rPr>
            </w:pPr>
          </w:p>
          <w:p>
            <w:pPr>
              <w:pStyle w:val="TableParagraph"/>
              <w:ind w:left="242"/>
              <w:rPr>
                <w:sz w:val="18"/>
              </w:rPr>
            </w:pPr>
            <w:r>
              <w:rPr>
                <w:sz w:val="18"/>
              </w:rPr>
              <w:t>16</w:t>
            </w:r>
          </w:p>
        </w:tc>
        <w:tc>
          <w:tcPr>
            <w:tcW w:w="1831" w:type="dxa"/>
          </w:tcPr>
          <w:p>
            <w:pPr>
              <w:pStyle w:val="TableParagraph"/>
              <w:spacing w:before="15"/>
              <w:rPr>
                <w:rFonts w:ascii="方正小标宋简体"/>
                <w:sz w:val="14"/>
              </w:rPr>
            </w:pPr>
          </w:p>
          <w:p>
            <w:pPr>
              <w:pStyle w:val="TableParagraph"/>
              <w:ind w:right="185"/>
              <w:jc w:val="right"/>
              <w:rPr>
                <w:sz w:val="18"/>
              </w:rPr>
            </w:pPr>
            <w:r>
              <w:rPr>
                <w:sz w:val="18"/>
              </w:rPr>
              <w:t>结果送达（时限）</w:t>
            </w:r>
          </w:p>
        </w:tc>
        <w:tc>
          <w:tcPr>
            <w:tcW w:w="7461" w:type="dxa"/>
          </w:tcPr>
          <w:p>
            <w:pPr>
              <w:pStyle w:val="TableParagraph"/>
              <w:spacing w:before="15"/>
              <w:rPr>
                <w:rFonts w:ascii="方正小标宋简体"/>
                <w:sz w:val="14"/>
              </w:rPr>
            </w:pPr>
          </w:p>
          <w:p>
            <w:pPr>
              <w:pStyle w:val="TableParagraph"/>
              <w:ind w:left="107"/>
              <w:rPr>
                <w:sz w:val="18"/>
              </w:rPr>
            </w:pPr>
            <w:r>
              <w:rPr>
                <w:sz w:val="18"/>
              </w:rPr>
              <w:t>1.申请对象窗口现场领取；2.邮递方式送达。</w:t>
            </w:r>
          </w:p>
        </w:tc>
      </w:tr>
      <w:tr>
        <w:trPr>
          <w:trHeight w:val="561" w:hRule="atLeast"/>
        </w:trPr>
        <w:tc>
          <w:tcPr>
            <w:tcW w:w="668" w:type="dxa"/>
          </w:tcPr>
          <w:p>
            <w:pPr>
              <w:pStyle w:val="TableParagraph"/>
              <w:rPr>
                <w:rFonts w:ascii="方正小标宋简体"/>
                <w:sz w:val="15"/>
              </w:rPr>
            </w:pPr>
          </w:p>
          <w:p>
            <w:pPr>
              <w:pStyle w:val="TableParagraph"/>
              <w:ind w:left="242"/>
              <w:rPr>
                <w:sz w:val="18"/>
              </w:rPr>
            </w:pPr>
            <w:r>
              <w:rPr>
                <w:sz w:val="18"/>
              </w:rPr>
              <w:t>17</w:t>
            </w:r>
          </w:p>
        </w:tc>
        <w:tc>
          <w:tcPr>
            <w:tcW w:w="1831" w:type="dxa"/>
          </w:tcPr>
          <w:p>
            <w:pPr>
              <w:pStyle w:val="TableParagraph"/>
              <w:rPr>
                <w:rFonts w:ascii="方正小标宋简体"/>
                <w:sz w:val="15"/>
              </w:rPr>
            </w:pPr>
          </w:p>
          <w:p>
            <w:pPr>
              <w:pStyle w:val="TableParagraph"/>
              <w:ind w:left="553"/>
              <w:rPr>
                <w:sz w:val="18"/>
              </w:rPr>
            </w:pPr>
            <w:r>
              <w:rPr>
                <w:sz w:val="18"/>
              </w:rPr>
              <w:t>决定公开</w:t>
            </w:r>
          </w:p>
        </w:tc>
        <w:tc>
          <w:tcPr>
            <w:tcW w:w="7461" w:type="dxa"/>
          </w:tcPr>
          <w:p>
            <w:pPr>
              <w:pStyle w:val="TableParagraph"/>
              <w:rPr>
                <w:rFonts w:ascii="方正小标宋简体"/>
                <w:sz w:val="15"/>
              </w:rPr>
            </w:pPr>
          </w:p>
          <w:p>
            <w:pPr>
              <w:pStyle w:val="TableParagraph"/>
              <w:ind w:left="107"/>
              <w:rPr>
                <w:sz w:val="18"/>
              </w:rPr>
            </w:pPr>
            <w:r>
              <w:rPr>
                <w:sz w:val="18"/>
              </w:rPr>
              <w:t>官方网站公示</w:t>
            </w:r>
          </w:p>
        </w:tc>
      </w:tr>
      <w:tr>
        <w:trPr>
          <w:trHeight w:val="561" w:hRule="atLeast"/>
        </w:trPr>
        <w:tc>
          <w:tcPr>
            <w:tcW w:w="668" w:type="dxa"/>
          </w:tcPr>
          <w:p>
            <w:pPr>
              <w:pStyle w:val="TableParagraph"/>
              <w:spacing w:before="15"/>
              <w:rPr>
                <w:rFonts w:ascii="方正小标宋简体"/>
                <w:sz w:val="14"/>
              </w:rPr>
            </w:pPr>
          </w:p>
          <w:p>
            <w:pPr>
              <w:pStyle w:val="TableParagraph"/>
              <w:ind w:left="242"/>
              <w:rPr>
                <w:sz w:val="18"/>
              </w:rPr>
            </w:pPr>
            <w:r>
              <w:rPr>
                <w:sz w:val="18"/>
              </w:rPr>
              <w:t>18</w:t>
            </w:r>
          </w:p>
        </w:tc>
        <w:tc>
          <w:tcPr>
            <w:tcW w:w="1831" w:type="dxa"/>
          </w:tcPr>
          <w:p>
            <w:pPr>
              <w:pStyle w:val="TableParagraph"/>
              <w:spacing w:before="15"/>
              <w:rPr>
                <w:rFonts w:ascii="方正小标宋简体"/>
                <w:sz w:val="14"/>
              </w:rPr>
            </w:pPr>
          </w:p>
          <w:p>
            <w:pPr>
              <w:pStyle w:val="TableParagraph"/>
              <w:ind w:left="173" w:right="167"/>
              <w:jc w:val="center"/>
              <w:rPr>
                <w:sz w:val="18"/>
              </w:rPr>
            </w:pPr>
            <w:r>
              <w:rPr>
                <w:sz w:val="18"/>
              </w:rPr>
              <w:t>备注</w:t>
            </w:r>
          </w:p>
        </w:tc>
        <w:tc>
          <w:tcPr>
            <w:tcW w:w="7461" w:type="dxa"/>
          </w:tcPr>
          <w:p>
            <w:pPr>
              <w:pStyle w:val="TableParagraph"/>
              <w:spacing w:before="15"/>
              <w:rPr>
                <w:rFonts w:ascii="方正小标宋简体"/>
                <w:sz w:val="14"/>
              </w:rPr>
            </w:pPr>
          </w:p>
          <w:p>
            <w:pPr>
              <w:pStyle w:val="TableParagraph"/>
              <w:ind w:left="107"/>
              <w:rPr>
                <w:sz w:val="18"/>
              </w:rPr>
            </w:pPr>
            <w:r>
              <w:rPr>
                <w:sz w:val="18"/>
              </w:rPr>
              <w:t>附商品房预售许可证明核发流程图</w:t>
            </w:r>
          </w:p>
        </w:tc>
      </w:tr>
    </w:tbl>
    <w:p>
      <w:pPr>
        <w:spacing w:after="0"/>
        <w:rPr>
          <w:sz w:val="18"/>
        </w:rPr>
        <w:sectPr>
          <w:pgSz w:w="11910" w:h="16840"/>
          <w:pgMar w:header="0" w:footer="1613" w:top="1120" w:bottom="1800" w:left="860" w:right="620"/>
        </w:sectPr>
      </w:pPr>
    </w:p>
    <w:p>
      <w:pPr>
        <w:pStyle w:val="BodyText"/>
        <w:spacing w:before="0"/>
        <w:ind w:left="588"/>
        <w:rPr>
          <w:rFonts w:ascii="方正小标宋简体"/>
          <w:sz w:val="20"/>
        </w:rPr>
      </w:pPr>
      <w:r>
        <w:rPr>
          <w:rFonts w:ascii="方正小标宋简体"/>
          <w:sz w:val="20"/>
        </w:rPr>
        <w:drawing>
          <wp:inline distT="0" distB="0" distL="0" distR="0">
            <wp:extent cx="6144260" cy="681685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6144260" cy="6816852"/>
                    </a:xfrm>
                    <a:prstGeom prst="rect">
                      <a:avLst/>
                    </a:prstGeom>
                  </pic:spPr>
                </pic:pic>
              </a:graphicData>
            </a:graphic>
          </wp:inline>
        </w:drawing>
      </w:r>
      <w:r>
        <w:rPr>
          <w:rFonts w:ascii="方正小标宋简体"/>
          <w:sz w:val="20"/>
        </w:rPr>
      </w:r>
    </w:p>
    <w:p>
      <w:pPr>
        <w:pStyle w:val="BodyText"/>
        <w:spacing w:before="0"/>
        <w:rPr>
          <w:rFonts w:ascii="方正小标宋简体"/>
          <w:sz w:val="20"/>
        </w:rPr>
      </w:pPr>
    </w:p>
    <w:p>
      <w:pPr>
        <w:pStyle w:val="BodyText"/>
        <w:spacing w:before="9"/>
        <w:rPr>
          <w:rFonts w:ascii="方正小标宋简体"/>
          <w:sz w:val="24"/>
        </w:rPr>
      </w:pPr>
    </w:p>
    <w:p>
      <w:pPr>
        <w:pStyle w:val="BodyText"/>
        <w:spacing w:before="42"/>
        <w:ind w:left="1199"/>
      </w:pPr>
      <w:r>
        <w:rPr/>
        <w:t>流程图绘制说明：</w:t>
      </w:r>
    </w:p>
    <w:p>
      <w:pPr>
        <w:pStyle w:val="ListParagraph"/>
        <w:numPr>
          <w:ilvl w:val="1"/>
          <w:numId w:val="11"/>
        </w:numPr>
        <w:tabs>
          <w:tab w:pos="1541" w:val="left" w:leader="none"/>
        </w:tabs>
        <w:spacing w:line="312" w:lineRule="auto" w:before="131" w:after="0"/>
        <w:ind w:left="558" w:right="677" w:firstLine="640"/>
        <w:jc w:val="left"/>
        <w:rPr>
          <w:sz w:val="32"/>
        </w:rPr>
      </w:pPr>
      <w:r>
        <w:rPr>
          <w:sz w:val="32"/>
        </w:rPr>
        <w:t>概述事项流程图中包含具有确定含义的符号、简单的说明</w:t>
      </w:r>
      <w:r>
        <w:rPr>
          <w:spacing w:val="-10"/>
          <w:sz w:val="32"/>
        </w:rPr>
        <w:t>性文字和各种连线，以简明直观地提供行政许可流程的操作顺序。</w:t>
      </w:r>
    </w:p>
    <w:p>
      <w:pPr>
        <w:spacing w:after="0" w:line="312" w:lineRule="auto"/>
        <w:jc w:val="left"/>
        <w:rPr>
          <w:sz w:val="32"/>
        </w:rPr>
        <w:sectPr>
          <w:pgSz w:w="11910" w:h="16840"/>
          <w:pgMar w:header="0" w:footer="1613" w:top="1180" w:bottom="1800" w:left="860" w:right="620"/>
        </w:sectPr>
      </w:pPr>
    </w:p>
    <w:p>
      <w:pPr>
        <w:pStyle w:val="ListParagraph"/>
        <w:numPr>
          <w:ilvl w:val="1"/>
          <w:numId w:val="11"/>
        </w:numPr>
        <w:tabs>
          <w:tab w:pos="1562" w:val="left" w:leader="none"/>
        </w:tabs>
        <w:spacing w:line="240" w:lineRule="auto" w:before="22" w:after="0"/>
        <w:ind w:left="1562" w:right="0" w:hanging="363"/>
        <w:jc w:val="both"/>
        <w:rPr>
          <w:sz w:val="32"/>
        </w:rPr>
      </w:pPr>
      <w:r>
        <w:rPr>
          <w:sz w:val="32"/>
        </w:rPr>
        <w:t>流程图中的常用符号</w:t>
      </w:r>
    </w:p>
    <w:p>
      <w:pPr>
        <w:pStyle w:val="BodyText"/>
        <w:spacing w:line="312" w:lineRule="auto" w:before="134"/>
        <w:ind w:left="558" w:right="838" w:firstLine="640"/>
        <w:jc w:val="both"/>
      </w:pPr>
      <w:r>
        <w:rPr/>
        <w:t>事项流程图包括指明行政许可实际处理操作的处理符号、指明控制流的流线符号以及便于读写流程图的特殊符号。常用的处理符号、流线符号和特殊符号如附表所示。</w:t>
      </w:r>
    </w:p>
    <w:p>
      <w:pPr>
        <w:pStyle w:val="ListParagraph"/>
        <w:numPr>
          <w:ilvl w:val="1"/>
          <w:numId w:val="11"/>
        </w:numPr>
        <w:tabs>
          <w:tab w:pos="1558" w:val="left" w:leader="none"/>
        </w:tabs>
        <w:spacing w:line="442" w:lineRule="exact" w:before="0" w:after="0"/>
        <w:ind w:left="1557" w:right="0" w:hanging="359"/>
        <w:jc w:val="both"/>
        <w:rPr>
          <w:sz w:val="32"/>
        </w:rPr>
      </w:pPr>
      <w:r>
        <w:rPr>
          <w:sz w:val="32"/>
        </w:rPr>
        <w:t>通用要求</w:t>
      </w:r>
    </w:p>
    <w:p>
      <w:pPr>
        <w:pStyle w:val="ListParagraph"/>
        <w:numPr>
          <w:ilvl w:val="0"/>
          <w:numId w:val="15"/>
        </w:numPr>
        <w:tabs>
          <w:tab w:pos="1969" w:val="left" w:leader="none"/>
        </w:tabs>
        <w:spacing w:line="240" w:lineRule="auto" w:before="133" w:after="0"/>
        <w:ind w:left="1968" w:right="0" w:hanging="770"/>
        <w:jc w:val="left"/>
        <w:rPr>
          <w:sz w:val="32"/>
        </w:rPr>
      </w:pPr>
      <w:r>
        <w:rPr>
          <w:sz w:val="32"/>
        </w:rPr>
        <w:t>符号</w:t>
      </w:r>
    </w:p>
    <w:p>
      <w:pPr>
        <w:pStyle w:val="BodyText"/>
        <w:spacing w:line="312" w:lineRule="auto" w:before="131"/>
        <w:ind w:left="558" w:right="838" w:firstLine="640"/>
      </w:pPr>
      <w:r>
        <w:rPr/>
        <w:t>流程图中，应对各个符号均匀分配空间，各种符号的大小尽可能统一。</w:t>
      </w:r>
    </w:p>
    <w:p>
      <w:pPr>
        <w:pStyle w:val="ListParagraph"/>
        <w:numPr>
          <w:ilvl w:val="0"/>
          <w:numId w:val="15"/>
        </w:numPr>
        <w:tabs>
          <w:tab w:pos="1992" w:val="left" w:leader="none"/>
        </w:tabs>
        <w:spacing w:line="446" w:lineRule="exact" w:before="0" w:after="0"/>
        <w:ind w:left="1991" w:right="0" w:hanging="793"/>
        <w:jc w:val="left"/>
        <w:rPr>
          <w:sz w:val="32"/>
        </w:rPr>
      </w:pPr>
      <w:r>
        <w:rPr>
          <w:sz w:val="32"/>
        </w:rPr>
        <w:t>符号内的说明性文字</w:t>
      </w:r>
    </w:p>
    <w:p>
      <w:pPr>
        <w:pStyle w:val="BodyText"/>
        <w:spacing w:line="312" w:lineRule="auto" w:before="131"/>
        <w:ind w:left="558" w:right="677" w:firstLine="640"/>
        <w:jc w:val="both"/>
      </w:pPr>
      <w:r>
        <w:rPr/>
        <w:t>理解某个符号功能所需要的最低限度的说明性文字应置于符号内，应按从左至右和自上而下的方式来书写，而与流向无关。</w:t>
      </w:r>
      <w:r>
        <w:rPr>
          <w:spacing w:val="-6"/>
        </w:rPr>
        <w:t>若说明性文字的篇幅很大而不便放进符号内时，可以使用注解符。</w:t>
      </w:r>
    </w:p>
    <w:p>
      <w:pPr>
        <w:pStyle w:val="ListParagraph"/>
        <w:numPr>
          <w:ilvl w:val="0"/>
          <w:numId w:val="15"/>
        </w:numPr>
        <w:tabs>
          <w:tab w:pos="1988" w:val="left" w:leader="none"/>
        </w:tabs>
        <w:spacing w:line="442" w:lineRule="exact" w:before="0" w:after="0"/>
        <w:ind w:left="1987" w:right="0" w:hanging="789"/>
        <w:jc w:val="left"/>
        <w:rPr>
          <w:sz w:val="32"/>
        </w:rPr>
      </w:pPr>
      <w:r>
        <w:rPr>
          <w:sz w:val="32"/>
        </w:rPr>
        <w:t>流线</w:t>
      </w:r>
    </w:p>
    <w:p>
      <w:pPr>
        <w:pStyle w:val="BodyText"/>
        <w:spacing w:line="312" w:lineRule="auto" w:before="133"/>
        <w:ind w:left="558" w:right="838" w:firstLine="640"/>
      </w:pPr>
      <w:r>
        <w:rPr/>
        <w:t>流线应尽量避免交叉。如果不可避免出现交叉，交叉的流线之间也没有任何逻辑关系，不对流向产生任何影响。</w:t>
      </w:r>
    </w:p>
    <w:p>
      <w:pPr>
        <w:pStyle w:val="BodyText"/>
        <w:spacing w:line="312" w:lineRule="auto" w:before="0"/>
        <w:ind w:left="558" w:right="838" w:firstLine="640"/>
      </w:pPr>
      <w:r>
        <w:rPr/>
        <w:t>一般情况下，流线应从符号的左边或顶端进入，从右边或底端离开。它们都应对准符号的中心。</w:t>
      </w:r>
    </w:p>
    <w:p>
      <w:pPr>
        <w:spacing w:after="0" w:line="312" w:lineRule="auto"/>
        <w:sectPr>
          <w:pgSz w:w="11910" w:h="16840"/>
          <w:pgMar w:header="0" w:footer="1613" w:top="1240" w:bottom="1880" w:left="860" w:right="620"/>
        </w:sectPr>
      </w:pPr>
    </w:p>
    <w:p>
      <w:pPr>
        <w:pStyle w:val="BodyText"/>
        <w:spacing w:line="548" w:lineRule="exact" w:before="0"/>
        <w:ind w:left="914" w:right="552"/>
        <w:jc w:val="center"/>
        <w:rPr>
          <w:rFonts w:ascii="方正小标宋简体" w:eastAsia="方正小标宋简体" w:hint="eastAsia"/>
        </w:rPr>
      </w:pPr>
      <w:r>
        <w:rPr/>
        <w:drawing>
          <wp:anchor distT="0" distB="0" distL="0" distR="0" allowOverlap="1" layoutInCell="1" locked="0" behindDoc="1" simplePos="0" relativeHeight="249217024">
            <wp:simplePos x="0" y="0"/>
            <wp:positionH relativeFrom="page">
              <wp:posOffset>919480</wp:posOffset>
            </wp:positionH>
            <wp:positionV relativeFrom="paragraph">
              <wp:posOffset>309625</wp:posOffset>
            </wp:positionV>
            <wp:extent cx="5955665" cy="73152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955665" cy="7315200"/>
                    </a:xfrm>
                    <a:prstGeom prst="rect">
                      <a:avLst/>
                    </a:prstGeom>
                  </pic:spPr>
                </pic:pic>
              </a:graphicData>
            </a:graphic>
          </wp:anchor>
        </w:drawing>
      </w:r>
      <w:r>
        <w:rPr>
          <w:rFonts w:ascii="方正小标宋简体" w:eastAsia="方正小标宋简体" w:hint="eastAsia"/>
        </w:rPr>
        <w:t>常用的处理符号、流线符号和特殊符号</w:t>
      </w:r>
    </w:p>
    <w:p>
      <w:pPr>
        <w:spacing w:after="0" w:line="548" w:lineRule="exact"/>
        <w:jc w:val="center"/>
        <w:rPr>
          <w:rFonts w:ascii="方正小标宋简体" w:eastAsia="方正小标宋简体" w:hint="eastAsia"/>
        </w:rPr>
        <w:sectPr>
          <w:pgSz w:w="11910" w:h="16840"/>
          <w:pgMar w:header="0" w:footer="1613" w:top="1200" w:bottom="1880" w:left="860" w:right="620"/>
        </w:sectPr>
      </w:pPr>
    </w:p>
    <w:p>
      <w:pPr>
        <w:pStyle w:val="BodyText"/>
        <w:spacing w:before="9"/>
        <w:rPr>
          <w:rFonts w:ascii="方正小标宋简体"/>
          <w:sz w:val="9"/>
        </w:rPr>
      </w:pPr>
    </w:p>
    <w:p>
      <w:pPr>
        <w:pStyle w:val="Heading1"/>
        <w:spacing w:line="642" w:lineRule="exact"/>
        <w:ind w:left="914" w:right="1151"/>
      </w:pPr>
      <w:r>
        <w:rPr/>
        <w:t>郯城县人民政府办公室</w:t>
      </w:r>
    </w:p>
    <w:p>
      <w:pPr>
        <w:spacing w:line="172" w:lineRule="auto" w:before="37"/>
        <w:ind w:left="914" w:right="1153" w:firstLine="0"/>
        <w:jc w:val="center"/>
        <w:rPr>
          <w:rFonts w:ascii="方正小标宋简体" w:eastAsia="方正小标宋简体" w:hint="eastAsia"/>
          <w:sz w:val="44"/>
        </w:rPr>
      </w:pPr>
      <w:r>
        <w:rPr>
          <w:rFonts w:ascii="方正小标宋简体" w:eastAsia="方正小标宋简体" w:hint="eastAsia"/>
          <w:sz w:val="44"/>
        </w:rPr>
        <w:t>关于印发郯城县全面推行行政执法公示制度执法全过程记录制度重大执法决定</w:t>
      </w:r>
    </w:p>
    <w:p>
      <w:pPr>
        <w:spacing w:line="631" w:lineRule="exact" w:before="0"/>
        <w:ind w:left="914" w:right="1152" w:firstLine="0"/>
        <w:jc w:val="center"/>
        <w:rPr>
          <w:rFonts w:ascii="方正小标宋简体" w:eastAsia="方正小标宋简体" w:hint="eastAsia"/>
          <w:sz w:val="44"/>
        </w:rPr>
      </w:pPr>
      <w:r>
        <w:rPr>
          <w:rFonts w:ascii="方正小标宋简体" w:eastAsia="方正小标宋简体" w:hint="eastAsia"/>
          <w:sz w:val="44"/>
        </w:rPr>
        <w:t>法制审核制度实施方案的通知</w:t>
      </w:r>
    </w:p>
    <w:p>
      <w:pPr>
        <w:pStyle w:val="BodyText"/>
        <w:spacing w:before="13"/>
        <w:rPr>
          <w:rFonts w:ascii="方正小标宋简体"/>
          <w:sz w:val="30"/>
        </w:rPr>
      </w:pPr>
    </w:p>
    <w:p>
      <w:pPr>
        <w:pStyle w:val="BodyText"/>
        <w:spacing w:before="0"/>
        <w:ind w:left="914" w:right="1147"/>
        <w:jc w:val="center"/>
        <w:rPr>
          <w:rFonts w:ascii="楷体_GB2312" w:eastAsia="楷体_GB2312" w:hint="eastAsia"/>
        </w:rPr>
      </w:pPr>
      <w:r>
        <w:rPr>
          <w:rFonts w:ascii="楷体_GB2312" w:eastAsia="楷体_GB2312" w:hint="eastAsia"/>
        </w:rPr>
        <w:t>郯政办字〔2019〕27 号</w:t>
      </w:r>
    </w:p>
    <w:p>
      <w:pPr>
        <w:pStyle w:val="BodyText"/>
        <w:spacing w:before="0"/>
        <w:rPr>
          <w:rFonts w:ascii="楷体_GB2312"/>
        </w:rPr>
      </w:pPr>
    </w:p>
    <w:p>
      <w:pPr>
        <w:pStyle w:val="BodyText"/>
        <w:spacing w:before="6"/>
        <w:rPr>
          <w:rFonts w:ascii="楷体_GB2312"/>
          <w:sz w:val="23"/>
        </w:rPr>
      </w:pPr>
    </w:p>
    <w:p>
      <w:pPr>
        <w:pStyle w:val="BodyText"/>
        <w:spacing w:line="300" w:lineRule="auto" w:before="1"/>
        <w:ind w:left="729" w:right="969"/>
        <w:jc w:val="both"/>
      </w:pPr>
      <w:r>
        <w:rPr>
          <w:w w:val="95"/>
        </w:rPr>
        <w:t>各乡镇人民政府、郯城街道办事处，县政府各部门，科级以上 事业单位，省、市直驻郯各单位，郯城经济开发区管委会，马 </w:t>
      </w:r>
      <w:r>
        <w:rPr/>
        <w:t>陵山景区管委会，新村银杏产业开发区管委会：</w:t>
      </w:r>
    </w:p>
    <w:p>
      <w:pPr>
        <w:pStyle w:val="BodyText"/>
        <w:spacing w:line="300" w:lineRule="auto"/>
        <w:ind w:left="729" w:right="969"/>
        <w:jc w:val="both"/>
      </w:pPr>
      <w:r>
        <w:rPr>
          <w:w w:val="95"/>
        </w:rPr>
        <w:t>《郯城县全面推行行政执法公示制度执法全过程记录制度重大 执法决定法制审核制度实施方案》已经县政府同意，现印发给 </w:t>
      </w:r>
      <w:r>
        <w:rPr/>
        <w:t>你们，请认真贯彻执行。</w:t>
      </w:r>
    </w:p>
    <w:p>
      <w:pPr>
        <w:pStyle w:val="BodyText"/>
        <w:spacing w:line="300" w:lineRule="auto"/>
        <w:ind w:left="7104" w:right="964" w:hanging="845"/>
        <w:jc w:val="right"/>
      </w:pPr>
      <w:r>
        <w:rPr>
          <w:spacing w:val="-2"/>
          <w:w w:val="95"/>
        </w:rPr>
        <w:t>郯城县人民政府办公室</w:t>
      </w:r>
      <w:r>
        <w:rPr/>
        <w:t>2019</w:t>
      </w:r>
      <w:r>
        <w:rPr>
          <w:spacing w:val="-55"/>
        </w:rPr>
        <w:t> 年 </w:t>
      </w:r>
      <w:r>
        <w:rPr/>
        <w:t>6</w:t>
      </w:r>
      <w:r>
        <w:rPr>
          <w:spacing w:val="-55"/>
        </w:rPr>
        <w:t> 月 </w:t>
      </w:r>
      <w:r>
        <w:rPr/>
        <w:t>17</w:t>
      </w:r>
      <w:r>
        <w:rPr>
          <w:spacing w:val="-48"/>
        </w:rPr>
        <w:t> 日</w:t>
      </w:r>
    </w:p>
    <w:p>
      <w:pPr>
        <w:pStyle w:val="BodyText"/>
        <w:spacing w:before="0"/>
        <w:rPr>
          <w:sz w:val="36"/>
        </w:rPr>
      </w:pPr>
    </w:p>
    <w:p>
      <w:pPr>
        <w:pStyle w:val="BodyText"/>
        <w:spacing w:before="0"/>
        <w:rPr>
          <w:sz w:val="36"/>
        </w:rPr>
      </w:pPr>
    </w:p>
    <w:p>
      <w:pPr>
        <w:pStyle w:val="BodyText"/>
        <w:spacing w:before="3"/>
        <w:rPr>
          <w:sz w:val="44"/>
        </w:rPr>
      </w:pPr>
    </w:p>
    <w:p>
      <w:pPr>
        <w:pStyle w:val="Heading2"/>
        <w:spacing w:line="189" w:lineRule="auto"/>
        <w:ind w:left="2094" w:right="2327"/>
      </w:pPr>
      <w:r>
        <w:rPr/>
        <w:t>郯城县全面推行行政执法公示制度执法全过程记录制度重大执法决定法制审核制度实施方案</w:t>
      </w:r>
    </w:p>
    <w:p>
      <w:pPr>
        <w:pStyle w:val="BodyText"/>
        <w:spacing w:before="17"/>
        <w:rPr>
          <w:rFonts w:ascii="方正小标宋简体"/>
          <w:sz w:val="34"/>
        </w:rPr>
      </w:pPr>
    </w:p>
    <w:p>
      <w:pPr>
        <w:pStyle w:val="BodyText"/>
        <w:spacing w:before="0"/>
        <w:ind w:left="629" w:right="235"/>
        <w:jc w:val="center"/>
      </w:pPr>
      <w:r>
        <w:rPr/>
        <w:t>为全面推行行政执法公示制度、执法全过程记录制度和重</w:t>
      </w:r>
    </w:p>
    <w:p>
      <w:pPr>
        <w:spacing w:after="0"/>
        <w:jc w:val="center"/>
        <w:sectPr>
          <w:footerReference w:type="default" r:id="rId12"/>
          <w:pgSz w:w="11910" w:h="16840"/>
          <w:pgMar w:footer="1554" w:header="0" w:top="1580" w:bottom="1740" w:left="860" w:right="620"/>
          <w:pgNumType w:start="39"/>
        </w:sectPr>
      </w:pPr>
    </w:p>
    <w:p>
      <w:pPr>
        <w:pStyle w:val="BodyText"/>
        <w:spacing w:before="10"/>
        <w:rPr>
          <w:sz w:val="21"/>
        </w:rPr>
      </w:pPr>
    </w:p>
    <w:p>
      <w:pPr>
        <w:pStyle w:val="BodyText"/>
        <w:spacing w:line="300" w:lineRule="auto" w:before="41"/>
        <w:ind w:left="729" w:right="961"/>
        <w:jc w:val="both"/>
      </w:pPr>
      <w:r>
        <w:rPr/>
        <w:t>大执法决定法制审核制度（</w:t>
      </w:r>
      <w:r>
        <w:rPr>
          <w:spacing w:val="-2"/>
        </w:rPr>
        <w:t>以下简称“三项制度”)，根据《国</w:t>
      </w:r>
      <w:r>
        <w:rPr/>
        <w:t>务院办公厅关于全面推行行政执法公示制度执法全过程记录制</w:t>
      </w:r>
      <w:r>
        <w:rPr>
          <w:w w:val="95"/>
        </w:rPr>
        <w:t>度重大执法决定法制审核制度的指导意见</w:t>
      </w:r>
      <w:r>
        <w:rPr>
          <w:spacing w:val="-190"/>
          <w:w w:val="95"/>
        </w:rPr>
        <w:t>》</w:t>
      </w:r>
      <w:r>
        <w:rPr>
          <w:w w:val="95"/>
        </w:rPr>
        <w:t>（</w:t>
      </w:r>
      <w:r>
        <w:rPr>
          <w:spacing w:val="-7"/>
          <w:w w:val="95"/>
        </w:rPr>
        <w:t>国办发〔</w:t>
      </w:r>
      <w:r>
        <w:rPr>
          <w:w w:val="95"/>
        </w:rPr>
        <w:t>2018</w:t>
      </w:r>
      <w:r>
        <w:rPr>
          <w:spacing w:val="-29"/>
          <w:w w:val="95"/>
        </w:rPr>
        <w:t>〕</w:t>
      </w:r>
      <w:r>
        <w:rPr>
          <w:w w:val="95"/>
        </w:rPr>
        <w:t>118 </w:t>
      </w:r>
      <w:r>
        <w:rPr>
          <w:spacing w:val="4"/>
        </w:rPr>
        <w:t>号</w:t>
      </w:r>
      <w:r>
        <w:rPr>
          <w:spacing w:val="-157"/>
        </w:rPr>
        <w:t>）</w:t>
      </w:r>
      <w:r>
        <w:rPr>
          <w:spacing w:val="-10"/>
        </w:rPr>
        <w:t>、《山东省人民政府办公厅关于印发山东省全面推行行政执</w:t>
      </w:r>
      <w:r>
        <w:rPr/>
        <w:t>法公示制度执法全过程记录制度重大执法决定法制审核制度实</w:t>
      </w:r>
      <w:r>
        <w:rPr>
          <w:spacing w:val="-23"/>
        </w:rPr>
        <w:t>施方案的通知》</w:t>
      </w:r>
      <w:r>
        <w:rPr/>
        <w:t>（鲁政办发〔2019〕9</w:t>
      </w:r>
      <w:r>
        <w:rPr>
          <w:spacing w:val="1"/>
        </w:rPr>
        <w:t> 号</w:t>
      </w:r>
      <w:r>
        <w:rPr>
          <w:spacing w:val="-159"/>
        </w:rPr>
        <w:t>）</w:t>
      </w:r>
      <w:r>
        <w:rPr>
          <w:spacing w:val="-18"/>
        </w:rPr>
        <w:t>、《临沂市人民政府办</w:t>
      </w:r>
      <w:r>
        <w:rPr/>
        <w:t>公室关于做好全面推行行政执法公示制度执法全过程记录制度</w:t>
      </w:r>
      <w:r>
        <w:rPr>
          <w:spacing w:val="-9"/>
        </w:rPr>
        <w:t>重大执法决定法制审核制度工作的通知》</w:t>
      </w:r>
      <w:r>
        <w:rPr/>
        <w:t>（</w:t>
      </w:r>
      <w:r>
        <w:rPr>
          <w:spacing w:val="1"/>
        </w:rPr>
        <w:t>临政办字〔</w:t>
      </w:r>
      <w:r>
        <w:rPr/>
        <w:t>2019〕53 号）等文件要求，结合我县实际，制定本方案。</w:t>
      </w:r>
    </w:p>
    <w:p>
      <w:pPr>
        <w:pStyle w:val="BodyText"/>
        <w:spacing w:before="6"/>
        <w:ind w:left="729"/>
        <w:rPr>
          <w:rFonts w:ascii="黑体" w:eastAsia="黑体" w:hint="eastAsia"/>
        </w:rPr>
      </w:pPr>
      <w:r>
        <w:rPr>
          <w:rFonts w:ascii="黑体" w:eastAsia="黑体" w:hint="eastAsia"/>
        </w:rPr>
        <w:t>一、工作目标</w:t>
      </w:r>
    </w:p>
    <w:p>
      <w:pPr>
        <w:pStyle w:val="BodyText"/>
        <w:spacing w:line="300" w:lineRule="auto" w:before="150"/>
        <w:ind w:left="729" w:right="966"/>
        <w:jc w:val="both"/>
      </w:pPr>
      <w:r>
        <w:rPr/>
        <w:t>按照省、市统一部署，2019</w:t>
      </w:r>
      <w:r>
        <w:rPr>
          <w:spacing w:val="-33"/>
        </w:rPr>
        <w:t> 年 </w:t>
      </w:r>
      <w:r>
        <w:rPr/>
        <w:t>9</w:t>
      </w:r>
      <w:r>
        <w:rPr>
          <w:spacing w:val="-9"/>
        </w:rPr>
        <w:t> 月底前，全县各级各行政执法</w:t>
      </w:r>
      <w:r>
        <w:rPr/>
        <w:t>部门全面完成“三项制度”推行工作，实现行政许可、行政处罚、行政强制、行政检查、行政征收征用等行政执法行为公开透明运行，行政执法程序规范，过程记录真实完整，行政执法决定合法合理，行政执法的规范化、信息化、科技化水平显著提升，行政执法的效率普遍提高，行政执法的法律效果和社会效果明显改善，为优化我县营商环境，打造法治郯城提供坚强法治保障。</w:t>
      </w:r>
    </w:p>
    <w:p>
      <w:pPr>
        <w:pStyle w:val="BodyText"/>
        <w:spacing w:before="6"/>
        <w:ind w:left="890"/>
        <w:rPr>
          <w:rFonts w:ascii="黑体" w:eastAsia="黑体" w:hint="eastAsia"/>
        </w:rPr>
      </w:pPr>
      <w:r>
        <w:rPr>
          <w:rFonts w:ascii="黑体" w:eastAsia="黑体" w:hint="eastAsia"/>
        </w:rPr>
        <w:t>二、重点任务</w:t>
      </w:r>
    </w:p>
    <w:p>
      <w:pPr>
        <w:pStyle w:val="BodyText"/>
        <w:spacing w:before="149"/>
        <w:ind w:left="729"/>
      </w:pPr>
      <w:r>
        <w:rPr>
          <w:rFonts w:ascii="楷体_GB2312" w:eastAsia="楷体_GB2312" w:hint="eastAsia"/>
        </w:rPr>
        <w:t>（一）全面推行行政执法公示制度。</w:t>
      </w:r>
      <w:r>
        <w:rPr/>
        <w:t>行政执法机关要认真执行</w:t>
      </w:r>
    </w:p>
    <w:p>
      <w:pPr>
        <w:pStyle w:val="BodyText"/>
        <w:spacing w:line="300" w:lineRule="auto" w:before="112"/>
        <w:ind w:left="729" w:right="963"/>
      </w:pPr>
      <w:r>
        <w:rPr>
          <w:w w:val="99"/>
        </w:rPr>
        <w:t>《郯城县行政执法信息公示办法</w:t>
      </w:r>
      <w:r>
        <w:rPr>
          <w:spacing w:val="-200"/>
          <w:w w:val="99"/>
        </w:rPr>
        <w:t>》</w:t>
      </w:r>
      <w:r>
        <w:rPr>
          <w:w w:val="99"/>
        </w:rPr>
        <w:t>（</w:t>
      </w:r>
      <w:r>
        <w:rPr>
          <w:spacing w:val="1"/>
          <w:w w:val="99"/>
        </w:rPr>
        <w:t>附件</w:t>
      </w:r>
      <w:r>
        <w:rPr>
          <w:spacing w:val="-77"/>
        </w:rPr>
        <w:t> </w:t>
      </w:r>
      <w:r>
        <w:rPr>
          <w:spacing w:val="-1"/>
          <w:w w:val="99"/>
        </w:rPr>
        <w:t>1</w:t>
      </w:r>
      <w:r>
        <w:rPr>
          <w:spacing w:val="-161"/>
          <w:w w:val="99"/>
        </w:rPr>
        <w:t>）</w:t>
      </w:r>
      <w:r>
        <w:rPr>
          <w:spacing w:val="-12"/>
          <w:w w:val="99"/>
        </w:rPr>
        <w:t>，按照“谁执法谁公</w:t>
      </w:r>
      <w:r>
        <w:rPr/>
        <w:t>示”的原则，将执法信息全面、准确、及时向社会公示。</w:t>
      </w:r>
    </w:p>
    <w:p>
      <w:pPr>
        <w:pStyle w:val="ListParagraph"/>
        <w:numPr>
          <w:ilvl w:val="1"/>
          <w:numId w:val="15"/>
        </w:numPr>
        <w:tabs>
          <w:tab w:pos="1551" w:val="left" w:leader="none"/>
        </w:tabs>
        <w:spacing w:line="240" w:lineRule="auto" w:before="2" w:after="0"/>
        <w:ind w:left="1550" w:right="0" w:hanging="179"/>
        <w:jc w:val="left"/>
        <w:rPr>
          <w:sz w:val="32"/>
        </w:rPr>
      </w:pPr>
      <w:r>
        <w:rPr>
          <w:spacing w:val="-10"/>
          <w:sz w:val="32"/>
        </w:rPr>
        <w:t>强化事前公开。行政执法机关要统筹公开本机关权责清单、</w:t>
      </w:r>
    </w:p>
    <w:p>
      <w:pPr>
        <w:spacing w:after="0" w:line="240" w:lineRule="auto"/>
        <w:jc w:val="left"/>
        <w:rPr>
          <w:sz w:val="32"/>
        </w:rPr>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965"/>
      </w:pPr>
      <w:r>
        <w:rPr/>
        <w:t>随机抽查事项清单</w:t>
      </w:r>
      <w:r>
        <w:rPr>
          <w:spacing w:val="-17"/>
        </w:rPr>
        <w:t>、“一次办好”事项清单、服务指南和执法流</w:t>
      </w:r>
      <w:r>
        <w:rPr/>
        <w:t>程图等信息，并进行动态调整。</w:t>
      </w:r>
    </w:p>
    <w:p>
      <w:pPr>
        <w:pStyle w:val="ListParagraph"/>
        <w:numPr>
          <w:ilvl w:val="1"/>
          <w:numId w:val="15"/>
        </w:numPr>
        <w:tabs>
          <w:tab w:pos="1573" w:val="left" w:leader="none"/>
        </w:tabs>
        <w:spacing w:line="300" w:lineRule="auto" w:before="0" w:after="0"/>
        <w:ind w:left="729" w:right="965" w:firstLine="640"/>
        <w:jc w:val="right"/>
        <w:rPr>
          <w:sz w:val="32"/>
        </w:rPr>
      </w:pPr>
      <w:r>
        <w:rPr>
          <w:spacing w:val="-12"/>
          <w:w w:val="95"/>
          <w:sz w:val="32"/>
        </w:rPr>
        <w:t>规范事中公示。行政执法人员在执法过程中要主动出示行 </w:t>
      </w:r>
      <w:r>
        <w:rPr>
          <w:w w:val="95"/>
          <w:sz w:val="32"/>
        </w:rPr>
        <w:t>政执法证件，政务服务窗口要设置行政执法人员岗位信息公示 牌，表明执法身份。要按照执法程序，依法制作并主动出具行 政执法文书，告知当事人执法事由、依据和权利义务等内容。  3.</w:t>
      </w:r>
      <w:r>
        <w:rPr>
          <w:spacing w:val="8"/>
          <w:w w:val="95"/>
          <w:sz w:val="32"/>
        </w:rPr>
        <w:t>加强事后公开。行政执法机关要在执法决定作出之日起</w:t>
      </w:r>
    </w:p>
    <w:p>
      <w:pPr>
        <w:pStyle w:val="BodyText"/>
        <w:spacing w:line="300" w:lineRule="auto" w:before="4"/>
        <w:ind w:left="729" w:right="966"/>
        <w:jc w:val="both"/>
      </w:pPr>
      <w:r>
        <w:rPr/>
        <w:t>20</w:t>
      </w:r>
      <w:r>
        <w:rPr>
          <w:spacing w:val="-9"/>
        </w:rPr>
        <w:t> 个工作日内，向社会公布执法机关、执法对象、执法类别、</w:t>
      </w:r>
      <w:r>
        <w:rPr/>
        <w:t>执法结论等信息。行政许可、行政处罚的执法决定信息应当自</w:t>
      </w:r>
      <w:r>
        <w:rPr>
          <w:spacing w:val="-1"/>
        </w:rPr>
        <w:t>执法决定作出之日起 </w:t>
      </w:r>
      <w:r>
        <w:rPr/>
        <w:t>7</w:t>
      </w:r>
      <w:r>
        <w:rPr>
          <w:spacing w:val="-9"/>
        </w:rPr>
        <w:t> 个工作日内公开，法律、法规另有规定</w:t>
      </w:r>
      <w:r>
        <w:rPr/>
        <w:t>的，从其规定。落实行政执法统计年报要求，行政执法机关应</w:t>
      </w:r>
      <w:r>
        <w:rPr>
          <w:spacing w:val="-1"/>
        </w:rPr>
        <w:t>当于每年 </w:t>
      </w:r>
      <w:r>
        <w:rPr/>
        <w:t>1</w:t>
      </w:r>
      <w:r>
        <w:rPr>
          <w:spacing w:val="-71"/>
        </w:rPr>
        <w:t> 月 </w:t>
      </w:r>
      <w:r>
        <w:rPr/>
        <w:t>31</w:t>
      </w:r>
      <w:r>
        <w:rPr>
          <w:spacing w:val="-12"/>
        </w:rPr>
        <w:t> 日前将上年度执法信息统计数据报县政府和上</w:t>
      </w:r>
      <w:r>
        <w:rPr/>
        <w:t>一级主管部门。</w:t>
      </w:r>
    </w:p>
    <w:p>
      <w:pPr>
        <w:pStyle w:val="BodyText"/>
        <w:spacing w:line="300" w:lineRule="auto" w:before="5"/>
        <w:ind w:left="729" w:right="961"/>
        <w:jc w:val="both"/>
      </w:pPr>
      <w:r>
        <w:rPr>
          <w:rFonts w:ascii="楷体_GB2312" w:eastAsia="楷体_GB2312" w:hint="eastAsia"/>
          <w:spacing w:val="4"/>
          <w:w w:val="95"/>
        </w:rPr>
        <w:t>（二）</w:t>
      </w:r>
      <w:r>
        <w:rPr>
          <w:rFonts w:ascii="楷体_GB2312" w:eastAsia="楷体_GB2312" w:hint="eastAsia"/>
          <w:spacing w:val="2"/>
          <w:w w:val="95"/>
        </w:rPr>
        <w:t>全面推行执法全过程记录制度。</w:t>
      </w:r>
      <w:r>
        <w:rPr>
          <w:spacing w:val="1"/>
          <w:w w:val="95"/>
        </w:rPr>
        <w:t>行政执法机关要严格执</w:t>
      </w:r>
      <w:r>
        <w:rPr>
          <w:spacing w:val="-46"/>
          <w:w w:val="99"/>
        </w:rPr>
        <w:t>行</w:t>
      </w:r>
      <w:r>
        <w:rPr>
          <w:w w:val="99"/>
        </w:rPr>
        <w:t>《郯城县行政执法全过程记录办法</w:t>
      </w:r>
      <w:r>
        <w:rPr>
          <w:spacing w:val="-207"/>
          <w:w w:val="99"/>
        </w:rPr>
        <w:t>》</w:t>
      </w:r>
      <w:r>
        <w:rPr>
          <w:spacing w:val="2"/>
          <w:w w:val="99"/>
        </w:rPr>
        <w:t>（</w:t>
      </w:r>
      <w:r>
        <w:rPr>
          <w:w w:val="99"/>
        </w:rPr>
        <w:t>附件</w:t>
      </w:r>
      <w:r>
        <w:rPr>
          <w:spacing w:val="-77"/>
        </w:rPr>
        <w:t> </w:t>
      </w:r>
      <w:r>
        <w:rPr>
          <w:w w:val="99"/>
        </w:rPr>
        <w:t>2</w:t>
      </w:r>
      <w:r>
        <w:rPr>
          <w:spacing w:val="-161"/>
          <w:w w:val="99"/>
        </w:rPr>
        <w:t>）</w:t>
      </w:r>
      <w:r>
        <w:rPr>
          <w:spacing w:val="-8"/>
          <w:w w:val="99"/>
        </w:rPr>
        <w:t>，全程记录行政</w:t>
      </w:r>
      <w:r>
        <w:rPr>
          <w:w w:val="95"/>
        </w:rPr>
        <w:t>执法各环节，制作行政执法案卷并归档，实现执法全程留痕和 </w:t>
      </w:r>
      <w:r>
        <w:rPr/>
        <w:t>可回溯管理。</w:t>
      </w:r>
    </w:p>
    <w:p>
      <w:pPr>
        <w:pStyle w:val="ListParagraph"/>
        <w:numPr>
          <w:ilvl w:val="0"/>
          <w:numId w:val="16"/>
        </w:numPr>
        <w:tabs>
          <w:tab w:pos="1549" w:val="left" w:leader="none"/>
        </w:tabs>
        <w:spacing w:line="300" w:lineRule="auto" w:before="1" w:after="0"/>
        <w:ind w:left="729" w:right="646" w:firstLine="640"/>
        <w:jc w:val="left"/>
        <w:rPr>
          <w:sz w:val="32"/>
        </w:rPr>
      </w:pPr>
      <w:r>
        <w:rPr>
          <w:spacing w:val="-11"/>
          <w:sz w:val="32"/>
        </w:rPr>
        <w:t>完善文字记录。行政执法机关要规范本部门行政执法文书， </w:t>
      </w:r>
      <w:r>
        <w:rPr>
          <w:sz w:val="32"/>
        </w:rPr>
        <w:t>制定执法规范用语和执法文书制作指引。</w:t>
      </w:r>
    </w:p>
    <w:p>
      <w:pPr>
        <w:pStyle w:val="ListParagraph"/>
        <w:numPr>
          <w:ilvl w:val="0"/>
          <w:numId w:val="16"/>
        </w:numPr>
        <w:tabs>
          <w:tab w:pos="1573" w:val="left" w:leader="none"/>
        </w:tabs>
        <w:spacing w:line="300" w:lineRule="auto" w:before="2" w:after="0"/>
        <w:ind w:left="729" w:right="967" w:firstLine="640"/>
        <w:jc w:val="both"/>
        <w:rPr>
          <w:sz w:val="32"/>
        </w:rPr>
      </w:pPr>
      <w:r>
        <w:rPr>
          <w:spacing w:val="-11"/>
          <w:sz w:val="32"/>
        </w:rPr>
        <w:t>规范音像记录。行政执法机关对查封扣押财产、强制拆除</w:t>
      </w:r>
      <w:r>
        <w:rPr>
          <w:w w:val="95"/>
          <w:sz w:val="32"/>
        </w:rPr>
        <w:t>等直接涉及人身自由、生命健康、重大财产权益的现场执法活 动和执法办案场所，要推行全程音像记录；对现场执法、调查 取证、举行听证、留置送达和公告送达等容易引发争议的行政</w:t>
      </w:r>
    </w:p>
    <w:p>
      <w:pPr>
        <w:spacing w:after="0" w:line="300" w:lineRule="auto"/>
        <w:jc w:val="both"/>
        <w:rPr>
          <w:sz w:val="32"/>
        </w:rPr>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969"/>
        <w:jc w:val="both"/>
      </w:pPr>
      <w:r>
        <w:rPr>
          <w:w w:val="95"/>
        </w:rPr>
        <w:t>执法过程，要根据实际情况进行音像记录；对文字记录能够全 面有效记录执法行为的，可以不进行音像记录。行政执法机关 </w:t>
      </w:r>
      <w:r>
        <w:rPr/>
        <w:t>要制定执法行为用语指引，文明开展音像记录。</w:t>
      </w:r>
    </w:p>
    <w:p>
      <w:pPr>
        <w:pStyle w:val="ListParagraph"/>
        <w:numPr>
          <w:ilvl w:val="0"/>
          <w:numId w:val="16"/>
        </w:numPr>
        <w:tabs>
          <w:tab w:pos="927" w:val="left" w:leader="none"/>
        </w:tabs>
        <w:spacing w:line="300" w:lineRule="auto" w:before="2" w:after="0"/>
        <w:ind w:left="729" w:right="966" w:firstLine="0"/>
        <w:jc w:val="both"/>
        <w:rPr>
          <w:sz w:val="32"/>
        </w:rPr>
      </w:pPr>
      <w:r>
        <w:rPr>
          <w:spacing w:val="-10"/>
          <w:sz w:val="32"/>
        </w:rPr>
        <w:t>加强记录归档和结果运用。行政执法机关要加强对执法案卷的</w:t>
      </w:r>
      <w:r>
        <w:rPr>
          <w:sz w:val="32"/>
        </w:rPr>
        <w:t>制作、使用、管理和归档保存。要加强对执法全过程记录信息的统计分析，发现行政执法薄弱环节，改进行政执法工作，依法公正维护执法人员和行政相对人的合法权益。</w:t>
      </w:r>
    </w:p>
    <w:p>
      <w:pPr>
        <w:pStyle w:val="BodyText"/>
        <w:spacing w:line="300" w:lineRule="auto"/>
        <w:ind w:left="729" w:right="962" w:firstLine="640"/>
        <w:jc w:val="both"/>
      </w:pPr>
      <w:r>
        <w:rPr>
          <w:rFonts w:ascii="楷体_GB2312" w:eastAsia="楷体_GB2312" w:hint="eastAsia"/>
          <w:spacing w:val="4"/>
        </w:rPr>
        <w:t>（三）</w:t>
      </w:r>
      <w:r>
        <w:rPr>
          <w:rFonts w:ascii="楷体_GB2312" w:eastAsia="楷体_GB2312" w:hint="eastAsia"/>
          <w:spacing w:val="2"/>
        </w:rPr>
        <w:t>全面推行重大执法决定法制审核制度。</w:t>
      </w:r>
      <w:r>
        <w:rPr>
          <w:spacing w:val="1"/>
        </w:rPr>
        <w:t>行政执法机</w:t>
      </w:r>
      <w:r>
        <w:rPr>
          <w:spacing w:val="-7"/>
          <w:w w:val="99"/>
        </w:rPr>
        <w:t>关要严格执行《郯城县重大执法决定法制审核办法》</w:t>
      </w:r>
      <w:r>
        <w:rPr>
          <w:spacing w:val="2"/>
          <w:w w:val="99"/>
        </w:rPr>
        <w:t>（</w:t>
      </w:r>
      <w:r>
        <w:rPr>
          <w:w w:val="99"/>
        </w:rPr>
        <w:t>附件</w:t>
      </w:r>
      <w:r>
        <w:rPr>
          <w:spacing w:val="-52"/>
        </w:rPr>
        <w:t> </w:t>
      </w:r>
      <w:r>
        <w:rPr>
          <w:spacing w:val="-6"/>
          <w:w w:val="99"/>
        </w:rPr>
        <w:t>3</w:t>
      </w:r>
      <w:r>
        <w:rPr>
          <w:spacing w:val="-164"/>
          <w:w w:val="99"/>
        </w:rPr>
        <w:t>），</w:t>
      </w:r>
      <w:r>
        <w:rPr/>
        <w:t>在重大执法决定作出前严格进行法制审核，未经审核或者审核未通过的，不得作出决定。</w:t>
      </w:r>
    </w:p>
    <w:p>
      <w:pPr>
        <w:pStyle w:val="ListParagraph"/>
        <w:numPr>
          <w:ilvl w:val="1"/>
          <w:numId w:val="16"/>
        </w:numPr>
        <w:tabs>
          <w:tab w:pos="1071" w:val="left" w:leader="none"/>
        </w:tabs>
        <w:spacing w:line="300" w:lineRule="auto" w:before="2" w:after="0"/>
        <w:ind w:left="729" w:right="805" w:firstLine="160"/>
        <w:jc w:val="left"/>
        <w:rPr>
          <w:sz w:val="32"/>
        </w:rPr>
      </w:pPr>
      <w:r>
        <w:rPr>
          <w:sz w:val="32"/>
        </w:rPr>
        <w:t>明确审核机构和人员。行政执法机关分开设置法制审核机构与行政执法承办机构。配齐配强工作力量，把政治素质高、业</w:t>
      </w:r>
      <w:r>
        <w:rPr>
          <w:spacing w:val="-10"/>
          <w:sz w:val="32"/>
        </w:rPr>
        <w:t>务能力强、具有法律专业背景的人员调整充实到法制审核岗位。</w:t>
      </w:r>
      <w:r>
        <w:rPr>
          <w:spacing w:val="-4"/>
          <w:sz w:val="32"/>
        </w:rPr>
        <w:t>法制审核人员原则上不少于本单位执法人员总数的 </w:t>
      </w:r>
      <w:r>
        <w:rPr>
          <w:sz w:val="32"/>
        </w:rPr>
        <w:t>5</w:t>
      </w:r>
      <w:r>
        <w:rPr>
          <w:spacing w:val="-9"/>
          <w:sz w:val="32"/>
        </w:rPr>
        <w:t>%。初次从</w:t>
      </w:r>
      <w:r>
        <w:rPr>
          <w:sz w:val="32"/>
        </w:rPr>
        <w:t>事行政处罚决定审核的人员，应当通过国家统一法律职业资格考试取得法律职业资格。探索建立法律顾问、公职律师参与法制审核的制度机制。</w:t>
      </w:r>
    </w:p>
    <w:p>
      <w:pPr>
        <w:pStyle w:val="ListParagraph"/>
        <w:numPr>
          <w:ilvl w:val="1"/>
          <w:numId w:val="16"/>
        </w:numPr>
        <w:tabs>
          <w:tab w:pos="1093" w:val="left" w:leader="none"/>
        </w:tabs>
        <w:spacing w:line="300" w:lineRule="auto" w:before="6" w:after="0"/>
        <w:ind w:left="729" w:right="968" w:firstLine="160"/>
        <w:jc w:val="both"/>
        <w:rPr>
          <w:sz w:val="32"/>
        </w:rPr>
      </w:pPr>
      <w:r>
        <w:rPr>
          <w:sz w:val="32"/>
        </w:rPr>
        <w:t>明确审核范围和内容。行政执法机关要科学界定重大执法决</w:t>
      </w:r>
      <w:r>
        <w:rPr>
          <w:w w:val="95"/>
          <w:sz w:val="32"/>
        </w:rPr>
        <w:t>定的范围，要结合本机关行政执法行为的类别、执法层级、所 属领域、涉案金额等因素，编制并公开本部门、本系统法制审 核目录清单。凡涉及重大公共利益，可能造成重大社会影响或 引发社会风险，直接关系行政相对人或第三人重大权益，经过</w:t>
      </w:r>
    </w:p>
    <w:p>
      <w:pPr>
        <w:spacing w:after="0" w:line="300" w:lineRule="auto"/>
        <w:jc w:val="both"/>
        <w:rPr>
          <w:sz w:val="32"/>
        </w:rPr>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964"/>
        <w:jc w:val="both"/>
      </w:pPr>
      <w:r>
        <w:rPr>
          <w:w w:val="95"/>
        </w:rPr>
        <w:t>听证程序作出行政执法决定，以及案件情况疑难复杂、涉及多 </w:t>
      </w:r>
      <w:r>
        <w:rPr/>
        <w:t>个法律关系的，都要进行法制审核。除适用简易程序作出的行政处罚外，行政处罚决定作出前都应当进行法制审核。明确审核内容，对行政执法主体和行政执法人员是否具有资格、程序是否合法、案件事实是否清楚、证据是否充分、法律适用是否准确、执法案卷材料是否齐备进行全面审核。</w:t>
      </w:r>
    </w:p>
    <w:p>
      <w:pPr>
        <w:pStyle w:val="ListParagraph"/>
        <w:numPr>
          <w:ilvl w:val="1"/>
          <w:numId w:val="16"/>
        </w:numPr>
        <w:tabs>
          <w:tab w:pos="1570" w:val="left" w:leader="none"/>
        </w:tabs>
        <w:spacing w:line="300" w:lineRule="auto" w:before="4" w:after="0"/>
        <w:ind w:left="729" w:right="967" w:firstLine="643"/>
        <w:jc w:val="both"/>
        <w:rPr>
          <w:sz w:val="32"/>
        </w:rPr>
      </w:pPr>
      <w:r>
        <w:rPr>
          <w:spacing w:val="-11"/>
          <w:sz w:val="32"/>
        </w:rPr>
        <w:t>明确审核程序和责任。行政执法机关应当规范法制审核流</w:t>
      </w:r>
      <w:r>
        <w:rPr>
          <w:w w:val="95"/>
          <w:sz w:val="32"/>
        </w:rPr>
        <w:t>程。法制审核机构完成审核后，要根据不同情形，提出同意或 者存在问题的书面审核意见。行政执法承办机构对法制审核未 通过的，应当作出相应处理后再次报送法制审核。双方对审核 意见无法达成一致的，由法制审核机构报行政执法机关负责人 </w:t>
      </w:r>
      <w:r>
        <w:rPr>
          <w:sz w:val="32"/>
        </w:rPr>
        <w:t>决定。法制审核机构对重大执法决定的法制审核意见负责。</w:t>
      </w:r>
    </w:p>
    <w:p>
      <w:pPr>
        <w:pStyle w:val="BodyText"/>
        <w:spacing w:line="300" w:lineRule="auto" w:before="4"/>
        <w:ind w:left="729" w:right="963"/>
        <w:jc w:val="both"/>
      </w:pPr>
      <w:r>
        <w:rPr>
          <w:rFonts w:ascii="楷体_GB2312" w:eastAsia="楷体_GB2312" w:hint="eastAsia"/>
          <w:spacing w:val="4"/>
          <w:w w:val="95"/>
        </w:rPr>
        <w:t>（四）</w:t>
      </w:r>
      <w:r>
        <w:rPr>
          <w:rFonts w:ascii="楷体_GB2312" w:eastAsia="楷体_GB2312" w:hint="eastAsia"/>
          <w:spacing w:val="2"/>
          <w:w w:val="95"/>
        </w:rPr>
        <w:t>全面推进行政执法信息化建设。</w:t>
      </w:r>
      <w:r>
        <w:rPr>
          <w:spacing w:val="1"/>
          <w:w w:val="95"/>
        </w:rPr>
        <w:t>依托政务服务平台，运 </w:t>
      </w:r>
      <w:r>
        <w:rPr/>
        <w:t>用全省统一的行政执法信息公示平台和行政执法权力网络运行系统，推进行政处罚、行政强制等权力事项上网运行，实现执法信息网上公示，执法全过程网上记录，执法结果网上查询， 执法活动网上监督，执法数据网上统计。行政执法机关可以立足执法工作实际，探索运用物联网设备、云计算平台、人工智能等，提高行政执法的信息化、自动化、标准化水平。</w:t>
      </w:r>
    </w:p>
    <w:p>
      <w:pPr>
        <w:pStyle w:val="BodyText"/>
        <w:spacing w:before="4"/>
        <w:ind w:left="729"/>
        <w:rPr>
          <w:rFonts w:ascii="黑体" w:eastAsia="黑体" w:hint="eastAsia"/>
        </w:rPr>
      </w:pPr>
      <w:r>
        <w:rPr>
          <w:rFonts w:ascii="黑体" w:eastAsia="黑体" w:hint="eastAsia"/>
        </w:rPr>
        <w:t>三、保障措施</w:t>
      </w:r>
    </w:p>
    <w:p>
      <w:pPr>
        <w:pStyle w:val="BodyText"/>
        <w:spacing w:line="300" w:lineRule="auto" w:before="150"/>
        <w:ind w:left="729" w:right="969" w:firstLine="640"/>
        <w:jc w:val="both"/>
      </w:pPr>
      <w:r>
        <w:rPr>
          <w:rFonts w:ascii="楷体_GB2312" w:hAnsi="楷体_GB2312" w:eastAsia="楷体_GB2312" w:hint="eastAsia"/>
          <w:spacing w:val="4"/>
          <w:w w:val="95"/>
        </w:rPr>
        <w:t>（一）</w:t>
      </w:r>
      <w:r>
        <w:rPr>
          <w:rFonts w:ascii="楷体_GB2312" w:hAnsi="楷体_GB2312" w:eastAsia="楷体_GB2312" w:hint="eastAsia"/>
          <w:spacing w:val="3"/>
          <w:w w:val="95"/>
        </w:rPr>
        <w:t>加强组织领导。</w:t>
      </w:r>
      <w:r>
        <w:rPr>
          <w:spacing w:val="1"/>
          <w:w w:val="95"/>
        </w:rPr>
        <w:t>各级各行政执法部门的主要负责同 </w:t>
      </w:r>
      <w:r>
        <w:rPr>
          <w:w w:val="95"/>
        </w:rPr>
        <w:t>志为本级本部门全面推行“三项制度”工作的第一责任人，负 责做好“三项制度”组织实施工作。县政府建立司法行政、机</w:t>
      </w:r>
    </w:p>
    <w:p>
      <w:pPr>
        <w:spacing w:after="0" w:line="300" w:lineRule="auto"/>
        <w:jc w:val="both"/>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965"/>
        <w:jc w:val="both"/>
      </w:pPr>
      <w:r>
        <w:rPr/>
        <w:t>构编制、公务员管理、发展改革、财政、市场监管部门及承担</w:t>
      </w:r>
      <w:r>
        <w:rPr>
          <w:spacing w:val="-17"/>
        </w:rPr>
        <w:t>信息公开、电子政务等工作的部门参加的全面推行“三项制度” </w:t>
      </w:r>
      <w:r>
        <w:rPr/>
        <w:t>工作协调机制，确保“三项制度”全面落实。县司法局负责对全县“三项制度”推行工作的指导。</w:t>
      </w:r>
    </w:p>
    <w:p>
      <w:pPr>
        <w:pStyle w:val="BodyText"/>
        <w:spacing w:line="300" w:lineRule="auto"/>
        <w:ind w:left="729" w:right="969" w:firstLine="640"/>
        <w:jc w:val="both"/>
      </w:pPr>
      <w:r>
        <w:rPr>
          <w:rFonts w:ascii="楷体_GB2312" w:eastAsia="楷体_GB2312" w:hint="eastAsia"/>
          <w:spacing w:val="4"/>
          <w:w w:val="95"/>
        </w:rPr>
        <w:t>（二）</w:t>
      </w:r>
      <w:r>
        <w:rPr>
          <w:rFonts w:ascii="楷体_GB2312" w:eastAsia="楷体_GB2312" w:hint="eastAsia"/>
          <w:spacing w:val="3"/>
          <w:w w:val="95"/>
        </w:rPr>
        <w:t>加大保障力度。</w:t>
      </w:r>
      <w:r>
        <w:rPr>
          <w:spacing w:val="1"/>
          <w:w w:val="95"/>
        </w:rPr>
        <w:t>财政部门要强化行政执法人员待遇 </w:t>
      </w:r>
      <w:r>
        <w:rPr>
          <w:w w:val="95"/>
        </w:rPr>
        <w:t>保障，人力资源社会保障部门要建立行政执法人员工伤保险制 度，提高行政执法人员履职积极性。各级行政执法机关要结合 </w:t>
      </w:r>
      <w:r>
        <w:rPr/>
        <w:t>执法实际，将执法装备需求报本级政府列入财政预算。</w:t>
      </w:r>
    </w:p>
    <w:p>
      <w:pPr>
        <w:pStyle w:val="BodyText"/>
        <w:spacing w:line="300" w:lineRule="auto"/>
        <w:ind w:left="729" w:right="966" w:firstLine="640"/>
        <w:jc w:val="both"/>
      </w:pPr>
      <w:r>
        <w:rPr>
          <w:rFonts w:ascii="楷体_GB2312" w:eastAsia="楷体_GB2312" w:hint="eastAsia"/>
          <w:spacing w:val="4"/>
        </w:rPr>
        <w:t>（三）</w:t>
      </w:r>
      <w:r>
        <w:rPr>
          <w:rFonts w:ascii="楷体_GB2312" w:eastAsia="楷体_GB2312" w:hint="eastAsia"/>
          <w:spacing w:val="3"/>
        </w:rPr>
        <w:t>加强队伍建设。</w:t>
      </w:r>
      <w:r>
        <w:rPr>
          <w:spacing w:val="1"/>
        </w:rPr>
        <w:t>严格落实行政执法人员资格认证和证件管理制度，2019</w:t>
      </w:r>
      <w:r>
        <w:rPr>
          <w:spacing w:val="-34"/>
        </w:rPr>
        <w:t> 年 </w:t>
      </w:r>
      <w:r>
        <w:rPr/>
        <w:t>6</w:t>
      </w:r>
      <w:r>
        <w:rPr>
          <w:spacing w:val="-9"/>
        </w:rPr>
        <w:t> 月底前完成对全县行政执法人员的全</w:t>
      </w:r>
      <w:r>
        <w:rPr/>
        <w:t>面清理。加强行政执法人员岗前培训力度，对已取得国家统一法律职业资格考试的人员，可申请免于行政执法证件考试。建立全县行政执法人员和法制审核人员数据库，实行信息化、动态化管理，每年定期组织培训，提高队伍素质。</w:t>
      </w:r>
    </w:p>
    <w:p>
      <w:pPr>
        <w:pStyle w:val="BodyText"/>
        <w:spacing w:line="300" w:lineRule="auto" w:before="4"/>
        <w:ind w:left="729" w:right="963" w:firstLine="640"/>
        <w:jc w:val="both"/>
      </w:pPr>
      <w:r>
        <w:rPr>
          <w:rFonts w:ascii="楷体_GB2312" w:hAnsi="楷体_GB2312" w:eastAsia="楷体_GB2312" w:hint="eastAsia"/>
        </w:rPr>
        <w:t>（四</w:t>
      </w:r>
      <w:r>
        <w:rPr>
          <w:rFonts w:ascii="楷体_GB2312" w:hAnsi="楷体_GB2312" w:eastAsia="楷体_GB2312" w:hint="eastAsia"/>
          <w:spacing w:val="-22"/>
        </w:rPr>
        <w:t>）</w:t>
      </w:r>
      <w:r>
        <w:rPr>
          <w:rFonts w:ascii="楷体_GB2312" w:hAnsi="楷体_GB2312" w:eastAsia="楷体_GB2312" w:hint="eastAsia"/>
        </w:rPr>
        <w:t>加强专项督促检查</w:t>
      </w:r>
      <w:r>
        <w:rPr>
          <w:rFonts w:ascii="楷体_GB2312" w:hAnsi="楷体_GB2312" w:eastAsia="楷体_GB2312" w:hint="eastAsia"/>
          <w:spacing w:val="-182"/>
        </w:rPr>
        <w:t>。</w:t>
      </w:r>
      <w:r>
        <w:rPr>
          <w:spacing w:val="-5"/>
        </w:rPr>
        <w:t>“三项制度”推进情况已经纳入</w:t>
      </w:r>
      <w:r>
        <w:rPr/>
        <w:t>法治政府建设考评指标体系和省、市经济社会发展综合考核体系，下一步，县政府将定期对“三项制度”落实情况进行督查通报，对推诿扯皮、敷衍塞责的以及工作开展不力影响整体进</w:t>
      </w:r>
      <w:r>
        <w:rPr>
          <w:spacing w:val="-17"/>
        </w:rPr>
        <w:t>度的、造成不良后果的单位及责任人通报批评，依纪依法问责。</w:t>
      </w:r>
      <w:r>
        <w:rPr>
          <w:spacing w:val="4"/>
        </w:rPr>
        <w:t>各级各行政执法部门要于</w:t>
      </w:r>
      <w:r>
        <w:rPr/>
        <w:t>2019</w:t>
      </w:r>
      <w:r>
        <w:rPr>
          <w:spacing w:val="-39"/>
        </w:rPr>
        <w:t> 年</w:t>
      </w:r>
      <w:r>
        <w:rPr/>
        <w:t>7</w:t>
      </w:r>
      <w:r>
        <w:rPr>
          <w:spacing w:val="-12"/>
        </w:rPr>
        <w:t> 月底前制定完善好全面推行“三项制度”的相关配套制度，2019</w:t>
      </w:r>
      <w:r>
        <w:rPr>
          <w:spacing w:val="-33"/>
        </w:rPr>
        <w:t> 年 </w:t>
      </w:r>
      <w:r>
        <w:rPr/>
        <w:t>9</w:t>
      </w:r>
      <w:r>
        <w:rPr>
          <w:spacing w:val="-9"/>
        </w:rPr>
        <w:t> 月底前，将全面推行</w:t>
      </w:r>
      <w:r>
        <w:rPr/>
        <w:t>“三项制度”的贯彻实施情况报县司法局。县司法局要加强调度指导和跟踪评估，适时组织开展专项督导检查，重要情况及</w:t>
      </w:r>
    </w:p>
    <w:p>
      <w:pPr>
        <w:spacing w:after="0" w:line="300" w:lineRule="auto"/>
        <w:jc w:val="both"/>
        <w:sectPr>
          <w:pgSz w:w="11910" w:h="16840"/>
          <w:pgMar w:header="0" w:footer="1554" w:top="1580" w:bottom="1740" w:left="860" w:right="620"/>
        </w:sectPr>
      </w:pPr>
    </w:p>
    <w:p>
      <w:pPr>
        <w:pStyle w:val="BodyText"/>
        <w:spacing w:before="10"/>
        <w:rPr>
          <w:sz w:val="21"/>
        </w:rPr>
      </w:pPr>
    </w:p>
    <w:p>
      <w:pPr>
        <w:pStyle w:val="BodyText"/>
        <w:spacing w:before="41"/>
        <w:ind w:left="729"/>
      </w:pPr>
      <w:r>
        <w:rPr/>
        <w:t>时报告县政府。</w:t>
      </w:r>
    </w:p>
    <w:p>
      <w:pPr>
        <w:pStyle w:val="BodyText"/>
        <w:spacing w:before="0"/>
        <w:rPr>
          <w:sz w:val="48"/>
        </w:rPr>
      </w:pPr>
    </w:p>
    <w:p>
      <w:pPr>
        <w:pStyle w:val="BodyText"/>
        <w:spacing w:line="300" w:lineRule="auto" w:before="0"/>
        <w:ind w:left="2651" w:right="3095" w:hanging="1121"/>
      </w:pPr>
      <w:r>
        <w:rPr/>
        <w:t>附件： 1.郯城县行政执法信息公示办法2.郯城县行政执法全过程记录办法</w:t>
      </w:r>
    </w:p>
    <w:p>
      <w:pPr>
        <w:pStyle w:val="BodyText"/>
        <w:ind w:left="2651"/>
      </w:pPr>
      <w:r>
        <w:rPr/>
        <w:t>3.郯城县重大执法决定法制审核办法</w:t>
      </w:r>
    </w:p>
    <w:p>
      <w:pPr>
        <w:spacing w:after="0"/>
        <w:sectPr>
          <w:pgSz w:w="11910" w:h="16840"/>
          <w:pgMar w:header="0" w:footer="1554" w:top="1580" w:bottom="1740" w:left="860" w:right="620"/>
        </w:sectPr>
      </w:pPr>
    </w:p>
    <w:p>
      <w:pPr>
        <w:pStyle w:val="BodyText"/>
        <w:spacing w:before="11"/>
        <w:rPr>
          <w:sz w:val="20"/>
        </w:rPr>
      </w:pPr>
    </w:p>
    <w:p>
      <w:pPr>
        <w:pStyle w:val="BodyText"/>
        <w:spacing w:before="54"/>
        <w:ind w:left="729"/>
        <w:rPr>
          <w:rFonts w:ascii="黑体" w:eastAsia="黑体" w:hint="eastAsia"/>
        </w:rPr>
      </w:pPr>
      <w:r>
        <w:rPr>
          <w:rFonts w:ascii="黑体" w:eastAsia="黑体" w:hint="eastAsia"/>
        </w:rPr>
        <w:t>附件 1</w:t>
      </w:r>
    </w:p>
    <w:p>
      <w:pPr>
        <w:pStyle w:val="BodyText"/>
        <w:spacing w:before="0"/>
        <w:rPr>
          <w:rFonts w:ascii="黑体"/>
          <w:sz w:val="20"/>
        </w:rPr>
      </w:pPr>
    </w:p>
    <w:p>
      <w:pPr>
        <w:pStyle w:val="BodyText"/>
        <w:spacing w:before="3"/>
        <w:rPr>
          <w:rFonts w:ascii="黑体"/>
          <w:sz w:val="24"/>
        </w:rPr>
      </w:pPr>
    </w:p>
    <w:p>
      <w:pPr>
        <w:pStyle w:val="Heading2"/>
        <w:ind w:right="1151"/>
      </w:pPr>
      <w:r>
        <w:rPr/>
        <w:t>郯城县行政执法信息公示办法</w:t>
      </w:r>
    </w:p>
    <w:p>
      <w:pPr>
        <w:pStyle w:val="BodyText"/>
        <w:spacing w:before="3"/>
        <w:rPr>
          <w:rFonts w:ascii="方正小标宋简体"/>
        </w:rPr>
      </w:pPr>
    </w:p>
    <w:p>
      <w:pPr>
        <w:pStyle w:val="BodyText"/>
        <w:spacing w:line="300" w:lineRule="auto" w:before="0"/>
        <w:ind w:left="729" w:right="1058" w:firstLine="631"/>
        <w:jc w:val="both"/>
      </w:pPr>
      <w:r>
        <w:rPr>
          <w:rFonts w:ascii="黑体" w:eastAsia="黑体" w:hint="eastAsia"/>
          <w:sz w:val="31"/>
        </w:rPr>
        <w:t>第一条</w:t>
      </w:r>
      <w:r>
        <w:rPr/>
        <w:t>为了规范行政执法信息公示，提高行政执法的透明度，促进严格规范公正文明执法，根据有关法律、法规和规章的规定，结合本县实际，制定本办法。</w:t>
      </w:r>
    </w:p>
    <w:p>
      <w:pPr>
        <w:pStyle w:val="BodyText"/>
        <w:spacing w:line="300" w:lineRule="auto"/>
        <w:ind w:left="729" w:right="1058" w:firstLine="631"/>
        <w:jc w:val="both"/>
      </w:pPr>
      <w:r>
        <w:rPr>
          <w:rFonts w:ascii="黑体" w:eastAsia="黑体" w:hint="eastAsia"/>
          <w:sz w:val="31"/>
        </w:rPr>
        <w:t>第二条  </w:t>
      </w:r>
      <w:r>
        <w:rPr/>
        <w:t>在本县行政区域内行政执法机关（包括法律法规授权组织）将行政执法信息通过一定的载体或者方式主动向社会进行公示，适用本办法。</w:t>
      </w:r>
    </w:p>
    <w:p>
      <w:pPr>
        <w:pStyle w:val="BodyText"/>
        <w:spacing w:line="300" w:lineRule="auto"/>
        <w:ind w:left="729" w:right="1106" w:firstLine="631"/>
        <w:jc w:val="both"/>
      </w:pPr>
      <w:r>
        <w:rPr>
          <w:rFonts w:ascii="黑体" w:hAnsi="黑体" w:eastAsia="黑体" w:hint="eastAsia"/>
          <w:sz w:val="31"/>
        </w:rPr>
        <w:t>第三条 </w:t>
      </w:r>
      <w:r>
        <w:rPr/>
        <w:t>行政执法机关应当按照“谁执法、谁公示”的原则，全面、准确、及时向社会公示行政执法信息。</w:t>
      </w:r>
    </w:p>
    <w:p>
      <w:pPr>
        <w:pStyle w:val="BodyText"/>
        <w:spacing w:line="300" w:lineRule="auto"/>
        <w:ind w:left="729" w:right="1106" w:firstLine="631"/>
        <w:jc w:val="both"/>
      </w:pPr>
      <w:r>
        <w:rPr>
          <w:rFonts w:ascii="黑体" w:eastAsia="黑体" w:hint="eastAsia"/>
          <w:sz w:val="31"/>
        </w:rPr>
        <w:t>第四条 </w:t>
      </w:r>
      <w:r>
        <w:rPr/>
        <w:t>行政执法机关应当主动将下列行政执法信息向社会公示：</w:t>
      </w:r>
    </w:p>
    <w:p>
      <w:pPr>
        <w:pStyle w:val="BodyText"/>
        <w:spacing w:line="300" w:lineRule="auto" w:before="0"/>
        <w:ind w:left="729" w:right="1068" w:firstLine="631"/>
      </w:pPr>
      <w:r>
        <w:rPr/>
        <w:t>（一）行政执法机关的执法机构、执法人员、执法职责、执法权限等信息；</w:t>
      </w:r>
    </w:p>
    <w:p>
      <w:pPr>
        <w:pStyle w:val="BodyText"/>
        <w:spacing w:line="300" w:lineRule="auto"/>
        <w:ind w:left="729" w:right="967" w:firstLine="631"/>
      </w:pPr>
      <w:r>
        <w:rPr/>
        <w:t>（二</w:t>
      </w:r>
      <w:r>
        <w:rPr>
          <w:spacing w:val="-56"/>
        </w:rPr>
        <w:t>）</w:t>
      </w:r>
      <w:r>
        <w:rPr>
          <w:spacing w:val="-13"/>
        </w:rPr>
        <w:t>行政执法权力事项的名称、种类、依据、承办机构、</w:t>
      </w:r>
      <w:r>
        <w:rPr/>
        <w:t>办理程序和时限、救济渠道等信息；</w:t>
      </w:r>
    </w:p>
    <w:p>
      <w:pPr>
        <w:pStyle w:val="BodyText"/>
        <w:spacing w:line="300" w:lineRule="auto" w:before="3"/>
        <w:ind w:left="729" w:right="965" w:firstLine="631"/>
        <w:jc w:val="both"/>
      </w:pPr>
      <w:r>
        <w:rPr/>
        <w:t>（三</w:t>
      </w:r>
      <w:r>
        <w:rPr>
          <w:spacing w:val="-108"/>
        </w:rPr>
        <w:t>）</w:t>
      </w:r>
      <w:r>
        <w:rPr>
          <w:spacing w:val="-8"/>
        </w:rPr>
        <w:t>行政执法权力事项的办理场所信息、执法岗位信息、</w:t>
      </w:r>
      <w:r>
        <w:rPr/>
        <w:t>联系方式、服务指南、执法流程图、需要提交的材料目录以及示范文本、办理进度查询、咨询服务、投诉举报等信息；</w:t>
      </w:r>
    </w:p>
    <w:p>
      <w:pPr>
        <w:pStyle w:val="BodyText"/>
        <w:spacing w:line="300" w:lineRule="auto"/>
        <w:ind w:left="729" w:right="1058" w:firstLine="631"/>
      </w:pPr>
      <w:r>
        <w:rPr/>
        <w:t>（四）行政执法机关依法委托执法的，应当公示受委托组织和执法人员的信息，委托执法的依据、事项、权限、期限、</w:t>
      </w:r>
    </w:p>
    <w:p>
      <w:pPr>
        <w:spacing w:after="0" w:line="300" w:lineRule="auto"/>
        <w:sectPr>
          <w:pgSz w:w="11910" w:h="16840"/>
          <w:pgMar w:header="0" w:footer="1554" w:top="1580" w:bottom="1740" w:left="860" w:right="620"/>
        </w:sectPr>
      </w:pPr>
    </w:p>
    <w:p>
      <w:pPr>
        <w:pStyle w:val="BodyText"/>
        <w:spacing w:before="10"/>
        <w:rPr>
          <w:sz w:val="21"/>
        </w:rPr>
      </w:pPr>
    </w:p>
    <w:p>
      <w:pPr>
        <w:pStyle w:val="BodyText"/>
        <w:spacing w:before="41"/>
        <w:ind w:left="729"/>
      </w:pPr>
      <w:r>
        <w:rPr/>
        <w:t>双方权利和义务、法律责任等信息；</w:t>
      </w:r>
    </w:p>
    <w:p>
      <w:pPr>
        <w:pStyle w:val="BodyText"/>
        <w:spacing w:before="112"/>
        <w:ind w:left="1360"/>
      </w:pPr>
      <w:r>
        <w:rPr/>
        <w:t>（五）依法应当向社会公示的其他信息。</w:t>
      </w:r>
    </w:p>
    <w:p>
      <w:pPr>
        <w:pStyle w:val="BodyText"/>
        <w:spacing w:line="300" w:lineRule="auto" w:before="112"/>
        <w:ind w:left="729" w:right="958" w:firstLine="631"/>
        <w:jc w:val="both"/>
      </w:pPr>
      <w:r>
        <w:rPr>
          <w:rFonts w:ascii="黑体" w:eastAsia="黑体" w:hint="eastAsia"/>
        </w:rPr>
        <w:t>第五条 </w:t>
      </w:r>
      <w:r>
        <w:rPr/>
        <w:t>行政执法机关应当制定行政执法信息公示办法， 明确公示内容的采集、传递、审核、发布职责，规范公示内容的标准、格式。</w:t>
      </w:r>
    </w:p>
    <w:p>
      <w:pPr>
        <w:pStyle w:val="BodyText"/>
        <w:spacing w:line="300" w:lineRule="auto"/>
        <w:ind w:left="729" w:right="959" w:firstLine="631"/>
        <w:jc w:val="both"/>
      </w:pPr>
      <w:r>
        <w:rPr>
          <w:rFonts w:ascii="黑体" w:hAnsi="黑体" w:eastAsia="黑体" w:hint="eastAsia"/>
          <w:spacing w:val="40"/>
        </w:rPr>
        <w:t>第六条 </w:t>
      </w:r>
      <w:r>
        <w:rPr>
          <w:spacing w:val="4"/>
        </w:rPr>
        <w:t>行政执法机关应当将行政执法信息公示与政府信</w:t>
      </w:r>
      <w:r>
        <w:rPr>
          <w:spacing w:val="-7"/>
        </w:rPr>
        <w:t>息公开、权责清单公布</w:t>
      </w:r>
      <w:r>
        <w:rPr>
          <w:spacing w:val="-28"/>
        </w:rPr>
        <w:t>、“双随机、一公开”监管</w:t>
      </w:r>
      <w:r>
        <w:rPr>
          <w:spacing w:val="-31"/>
        </w:rPr>
        <w:t>、“一次办好” </w:t>
      </w:r>
      <w:r>
        <w:rPr/>
        <w:t>事项清单公布等工作衔接，保证信息公示的一致性，并及时根据法律法规及机构职能变化情况进行动态调整。</w:t>
      </w:r>
    </w:p>
    <w:p>
      <w:pPr>
        <w:pStyle w:val="BodyText"/>
        <w:spacing w:line="300" w:lineRule="auto" w:before="4"/>
        <w:ind w:left="729" w:right="1058" w:firstLine="631"/>
        <w:jc w:val="both"/>
      </w:pPr>
      <w:r>
        <w:rPr>
          <w:rFonts w:ascii="黑体" w:eastAsia="黑体" w:hint="eastAsia"/>
        </w:rPr>
        <w:t>第七条 </w:t>
      </w:r>
      <w:r>
        <w:rPr/>
        <w:t>行政执法人员在进行监督检查、调查取证、采取强制措施和强制执行、送达行政执法文书等执法活动时，应当主动公开下列行政执法信息：</w:t>
      </w:r>
    </w:p>
    <w:p>
      <w:pPr>
        <w:pStyle w:val="BodyText"/>
        <w:spacing w:line="300" w:lineRule="auto"/>
        <w:ind w:left="729" w:right="965" w:firstLine="631"/>
        <w:jc w:val="both"/>
      </w:pPr>
      <w:r>
        <w:rPr/>
        <w:t>（一</w:t>
      </w:r>
      <w:r>
        <w:rPr>
          <w:spacing w:val="-108"/>
        </w:rPr>
        <w:t>）</w:t>
      </w:r>
      <w:r>
        <w:rPr>
          <w:spacing w:val="-12"/>
        </w:rPr>
        <w:t>出示有效执法证件，向当事人和相关人员表明身份。</w:t>
      </w:r>
      <w:r>
        <w:rPr/>
        <w:t>国家规定统一着执法服装、佩戴执法标识的，要按规定着装、佩戴标识；</w:t>
      </w:r>
    </w:p>
    <w:p>
      <w:pPr>
        <w:pStyle w:val="BodyText"/>
        <w:spacing w:line="300" w:lineRule="auto"/>
        <w:ind w:left="729" w:right="1068" w:firstLine="631"/>
      </w:pPr>
      <w:r>
        <w:rPr/>
        <w:t>（二）出具行政执法文书，告知当事人执法事由、执法依据、权利义务等，并做好说明解释工作；</w:t>
      </w:r>
    </w:p>
    <w:p>
      <w:pPr>
        <w:pStyle w:val="BodyText"/>
        <w:spacing w:line="300" w:lineRule="auto" w:before="0"/>
        <w:ind w:left="1360" w:right="1068"/>
      </w:pPr>
      <w:r>
        <w:rPr/>
        <w:t>（三）依法应当向当事人和相关人员公示的其他信息。 </w:t>
      </w:r>
      <w:r>
        <w:rPr>
          <w:spacing w:val="-1"/>
        </w:rPr>
        <w:t>政务服务窗口要设置岗位信息公示牌，明示工作人员岗位</w:t>
      </w:r>
    </w:p>
    <w:p>
      <w:pPr>
        <w:pStyle w:val="BodyText"/>
        <w:spacing w:line="300" w:lineRule="auto"/>
        <w:ind w:left="729" w:right="1058"/>
      </w:pPr>
      <w:r>
        <w:rPr/>
        <w:t>职责、申请材料示范文本、办理进度查询、咨询服务、投诉举报等信息。</w:t>
      </w:r>
    </w:p>
    <w:p>
      <w:pPr>
        <w:pStyle w:val="BodyText"/>
        <w:spacing w:line="300" w:lineRule="auto" w:before="3"/>
        <w:ind w:left="729" w:right="1226" w:firstLine="631"/>
      </w:pPr>
      <w:r>
        <w:rPr>
          <w:rFonts w:ascii="黑体" w:eastAsia="黑体" w:hint="eastAsia"/>
        </w:rPr>
        <w:t>第八条 </w:t>
      </w:r>
      <w:r>
        <w:rPr/>
        <w:t>行政执法机关应当主动将下列行政执法结果向社会公示：</w:t>
      </w:r>
    </w:p>
    <w:p>
      <w:pPr>
        <w:spacing w:after="0" w:line="300" w:lineRule="auto"/>
        <w:sectPr>
          <w:pgSz w:w="11910" w:h="16840"/>
          <w:pgMar w:header="0" w:footer="1554" w:top="1580" w:bottom="1740" w:left="860" w:right="620"/>
        </w:sectPr>
      </w:pPr>
    </w:p>
    <w:p>
      <w:pPr>
        <w:pStyle w:val="BodyText"/>
        <w:spacing w:before="10"/>
        <w:rPr>
          <w:sz w:val="21"/>
        </w:rPr>
      </w:pPr>
    </w:p>
    <w:p>
      <w:pPr>
        <w:pStyle w:val="BodyText"/>
        <w:spacing w:before="41"/>
        <w:ind w:left="1360"/>
      </w:pPr>
      <w:r>
        <w:rPr/>
        <w:t>（一）检查、抽查、检验、检测的结果；</w:t>
      </w:r>
    </w:p>
    <w:p>
      <w:pPr>
        <w:pStyle w:val="BodyText"/>
        <w:spacing w:before="112"/>
        <w:ind w:left="1360"/>
      </w:pPr>
      <w:r>
        <w:rPr/>
        <w:t>（二）行政执法决定；</w:t>
      </w:r>
    </w:p>
    <w:p>
      <w:pPr>
        <w:pStyle w:val="BodyText"/>
        <w:spacing w:before="112"/>
        <w:ind w:left="1360"/>
      </w:pPr>
      <w:r>
        <w:rPr/>
        <w:t>（三）行政执法决定的履行情况。</w:t>
      </w:r>
    </w:p>
    <w:p>
      <w:pPr>
        <w:pStyle w:val="BodyText"/>
        <w:spacing w:line="300" w:lineRule="auto" w:before="114"/>
        <w:ind w:left="729" w:right="1058" w:firstLine="631"/>
        <w:jc w:val="both"/>
      </w:pPr>
      <w:r>
        <w:rPr/>
        <w:t>行政执法结果公示可以采取摘要形式或者决定书形式。采取摘要形式向社会公示的，应当公示行政执法决定书文号、行政执法相对人名称、行政执法事项名称、主要事实、依据、作出行政执法决定的行政执法机关名称和日期等内容。</w:t>
      </w:r>
    </w:p>
    <w:p>
      <w:pPr>
        <w:pStyle w:val="BodyText"/>
        <w:spacing w:line="300" w:lineRule="auto"/>
        <w:ind w:left="729" w:right="975" w:firstLine="631"/>
        <w:jc w:val="both"/>
      </w:pPr>
      <w:r>
        <w:rPr>
          <w:rFonts w:ascii="黑体" w:eastAsia="黑体" w:hint="eastAsia"/>
          <w:spacing w:val="38"/>
        </w:rPr>
        <w:t>第九条 </w:t>
      </w:r>
      <w:r>
        <w:rPr/>
        <w:t>行政执法机关应当按照郯城县年度数据统计公开</w:t>
      </w:r>
      <w:r>
        <w:rPr>
          <w:spacing w:val="-12"/>
        </w:rPr>
        <w:t>样式，于每年 </w:t>
      </w:r>
      <w:r>
        <w:rPr/>
        <w:t>1</w:t>
      </w:r>
      <w:r>
        <w:rPr>
          <w:spacing w:val="-55"/>
        </w:rPr>
        <w:t> 月 </w:t>
      </w:r>
      <w:r>
        <w:rPr/>
        <w:t>31</w:t>
      </w:r>
      <w:r>
        <w:rPr>
          <w:spacing w:val="-11"/>
        </w:rPr>
        <w:t> 日前公开本机关上年度行政执法总体情况</w:t>
      </w:r>
      <w:r>
        <w:rPr/>
        <w:t>有关数据，并报县政府和上级主管部门。</w:t>
      </w:r>
    </w:p>
    <w:p>
      <w:pPr>
        <w:pStyle w:val="BodyText"/>
        <w:spacing w:line="300" w:lineRule="auto"/>
        <w:ind w:left="729" w:right="967" w:firstLine="631"/>
        <w:jc w:val="both"/>
      </w:pPr>
      <w:r>
        <w:rPr>
          <w:rFonts w:ascii="黑体" w:eastAsia="黑体" w:hint="eastAsia"/>
          <w:spacing w:val="38"/>
        </w:rPr>
        <w:t>第十条 </w:t>
      </w:r>
      <w:r>
        <w:rPr/>
        <w:t>行政执法机关公示行政执法信息，应当符合《中华人民共和国保守国家秘密法</w:t>
      </w:r>
      <w:r>
        <w:rPr>
          <w:spacing w:val="-20"/>
        </w:rPr>
        <w:t>》《中华人民共和国政府信息公开</w:t>
      </w:r>
      <w:r>
        <w:rPr/>
        <w:t>条例》及有关法律、法规和规章的规定。有下列情形之一的， 行政执法机关不得向社会公示：</w:t>
      </w:r>
    </w:p>
    <w:p>
      <w:pPr>
        <w:pStyle w:val="BodyText"/>
        <w:ind w:left="1360"/>
      </w:pPr>
      <w:r>
        <w:rPr/>
        <w:t>（一）行政执法信息涉及国家秘密的；</w:t>
      </w:r>
    </w:p>
    <w:p>
      <w:pPr>
        <w:pStyle w:val="BodyText"/>
        <w:spacing w:line="300" w:lineRule="auto" w:before="114"/>
        <w:ind w:left="729" w:right="964" w:firstLine="631"/>
      </w:pPr>
      <w:r>
        <w:rPr/>
        <w:t>（二</w:t>
      </w:r>
      <w:r>
        <w:rPr>
          <w:spacing w:val="-108"/>
        </w:rPr>
        <w:t>）</w:t>
      </w:r>
      <w:r>
        <w:rPr>
          <w:spacing w:val="-8"/>
        </w:rPr>
        <w:t>行政执法信息公开后可能危及国家安全、公共安全、</w:t>
      </w:r>
      <w:r>
        <w:rPr/>
        <w:t>经济安全和社会稳定的；</w:t>
      </w:r>
    </w:p>
    <w:p>
      <w:pPr>
        <w:pStyle w:val="BodyText"/>
        <w:spacing w:line="447" w:lineRule="exact" w:before="0"/>
        <w:ind w:left="1360"/>
      </w:pPr>
      <w:r>
        <w:rPr/>
        <w:t>（三）行政执法信息公开后可能妨碍正常执法活动的；</w:t>
      </w:r>
    </w:p>
    <w:p>
      <w:pPr>
        <w:pStyle w:val="BodyText"/>
        <w:spacing w:line="300" w:lineRule="auto" w:before="114"/>
        <w:ind w:left="1360" w:right="1068"/>
      </w:pPr>
      <w:r>
        <w:rPr/>
        <w:t>（四）法律、法规和规章规定的不予公开的其他情形。 </w:t>
      </w:r>
      <w:r>
        <w:rPr>
          <w:spacing w:val="-1"/>
        </w:rPr>
        <w:t>行政执法信息涉及商业秘密、个人隐私的，原则上不得向</w:t>
      </w:r>
    </w:p>
    <w:p>
      <w:pPr>
        <w:pStyle w:val="BodyText"/>
        <w:spacing w:before="0"/>
        <w:ind w:left="729"/>
      </w:pPr>
      <w:r>
        <w:rPr/>
        <w:t>社会公示，依法确需公开的，要作适当处理后公开。</w:t>
      </w:r>
    </w:p>
    <w:p>
      <w:pPr>
        <w:spacing w:after="0"/>
        <w:sectPr>
          <w:pgSz w:w="11910" w:h="16840"/>
          <w:pgMar w:header="0" w:footer="1554" w:top="1580" w:bottom="1740" w:left="860" w:right="620"/>
        </w:sectPr>
      </w:pPr>
    </w:p>
    <w:p>
      <w:pPr>
        <w:pStyle w:val="BodyText"/>
        <w:spacing w:before="11"/>
        <w:rPr>
          <w:sz w:val="20"/>
        </w:rPr>
      </w:pPr>
    </w:p>
    <w:p>
      <w:pPr>
        <w:pStyle w:val="BodyText"/>
        <w:spacing w:line="300" w:lineRule="auto" w:before="54"/>
        <w:ind w:left="729" w:right="1057" w:firstLine="640"/>
        <w:jc w:val="both"/>
      </w:pPr>
      <w:r>
        <w:rPr>
          <w:rFonts w:ascii="黑体" w:eastAsia="黑体" w:hint="eastAsia"/>
        </w:rPr>
        <w:t>第十一条 </w:t>
      </w:r>
      <w:r>
        <w:rPr/>
        <w:t>行政执法信息应当通过公告、公报等文件方式或者通过政府网站及政务新媒体、办事大厅公示栏、服务窗口等便于公众查询的平台进行公示。</w:t>
      </w:r>
    </w:p>
    <w:p>
      <w:pPr>
        <w:pStyle w:val="BodyText"/>
        <w:spacing w:line="300" w:lineRule="auto"/>
        <w:ind w:left="729" w:right="962" w:firstLine="631"/>
        <w:jc w:val="both"/>
      </w:pPr>
      <w:r>
        <w:rPr>
          <w:rFonts w:ascii="黑体" w:eastAsia="黑体" w:hint="eastAsia"/>
          <w:spacing w:val="31"/>
        </w:rPr>
        <w:t>第十二条 </w:t>
      </w:r>
      <w:r>
        <w:rPr/>
        <w:t>行政执法机关应当将行政执法信息自形成或者</w:t>
      </w:r>
      <w:r>
        <w:rPr>
          <w:spacing w:val="-14"/>
        </w:rPr>
        <w:t>变更之日起 </w:t>
      </w:r>
      <w:r>
        <w:rPr/>
        <w:t>20</w:t>
      </w:r>
      <w:r>
        <w:rPr>
          <w:spacing w:val="-13"/>
        </w:rPr>
        <w:t> 个工作日内公开。行政许可、行政处罚的执法决</w:t>
      </w:r>
    </w:p>
    <w:p>
      <w:pPr>
        <w:pStyle w:val="BodyText"/>
        <w:spacing w:line="300" w:lineRule="auto" w:before="0"/>
        <w:ind w:left="729" w:right="1066"/>
        <w:jc w:val="both"/>
      </w:pPr>
      <w:r>
        <w:rPr>
          <w:spacing w:val="-5"/>
        </w:rPr>
        <w:t>定信息应当自执法决定作出之日起 </w:t>
      </w:r>
      <w:r>
        <w:rPr/>
        <w:t>7</w:t>
      </w:r>
      <w:r>
        <w:rPr>
          <w:spacing w:val="-11"/>
        </w:rPr>
        <w:t> 个工作日内公开。法律、</w:t>
      </w:r>
      <w:r>
        <w:rPr/>
        <w:t>法规另有规定的，从其规定。</w:t>
      </w:r>
    </w:p>
    <w:p>
      <w:pPr>
        <w:pStyle w:val="BodyText"/>
        <w:spacing w:line="300" w:lineRule="auto"/>
        <w:ind w:left="729" w:right="1067" w:firstLine="631"/>
        <w:jc w:val="both"/>
      </w:pPr>
      <w:r>
        <w:rPr>
          <w:rFonts w:ascii="黑体" w:eastAsia="黑体" w:hint="eastAsia"/>
        </w:rPr>
        <w:t>第十三条 </w:t>
      </w:r>
      <w:r>
        <w:rPr/>
        <w:t>行政执法机关发现公示的执法信息内容不准确的，应当及时进行更正。</w:t>
      </w:r>
    </w:p>
    <w:p>
      <w:pPr>
        <w:pStyle w:val="BodyText"/>
        <w:spacing w:line="300" w:lineRule="auto"/>
        <w:ind w:left="729" w:right="1058" w:firstLine="631"/>
        <w:jc w:val="both"/>
      </w:pPr>
      <w:r>
        <w:rPr/>
        <w:t>公民、法人或者其他组织有证据证明行政执法机关公示的行政执法信息不准确的，可以向行政执法机关申请更正。行政执法机关应当及时予以更正并文字答复申请人。</w:t>
      </w:r>
    </w:p>
    <w:p>
      <w:pPr>
        <w:pStyle w:val="BodyText"/>
        <w:spacing w:line="300" w:lineRule="auto"/>
        <w:ind w:left="729" w:right="1058" w:firstLine="631"/>
        <w:jc w:val="both"/>
      </w:pPr>
      <w:r>
        <w:rPr>
          <w:rFonts w:ascii="黑体" w:eastAsia="黑体" w:hint="eastAsia"/>
        </w:rPr>
        <w:t>第十四条 </w:t>
      </w:r>
      <w:r>
        <w:rPr/>
        <w:t>已公开的行政执法决定被依法撤销、确认违法或者要求重新作出的，行政执法机关应当及时撤下原行政执法决定信息，并作必要的说明。</w:t>
      </w:r>
    </w:p>
    <w:p>
      <w:pPr>
        <w:pStyle w:val="BodyText"/>
        <w:spacing w:line="300" w:lineRule="auto" w:before="3"/>
        <w:ind w:left="729" w:right="1057" w:firstLine="640"/>
        <w:jc w:val="both"/>
      </w:pPr>
      <w:r>
        <w:rPr>
          <w:rFonts w:ascii="黑体" w:eastAsia="黑体" w:hint="eastAsia"/>
        </w:rPr>
        <w:t>第十五条 </w:t>
      </w:r>
      <w:r>
        <w:rPr/>
        <w:t>行政执法机关及其行政执法人员违反行政执法信息公示规定的，由县政府或者有关部门责令改正；情节严重的，对直接负责的主管人员和其他责任人员依法给予处分；构成犯罪的，依法追究刑事责任。</w:t>
      </w:r>
    </w:p>
    <w:p>
      <w:pPr>
        <w:pStyle w:val="BodyText"/>
        <w:spacing w:before="1"/>
        <w:ind w:left="1370"/>
        <w:jc w:val="both"/>
      </w:pPr>
      <w:r>
        <w:rPr>
          <w:rFonts w:ascii="黑体" w:eastAsia="黑体" w:hint="eastAsia"/>
        </w:rPr>
        <w:t>第十六条 </w:t>
      </w:r>
      <w:r>
        <w:rPr/>
        <w:t>本办法自公布之日起施行。</w:t>
      </w:r>
    </w:p>
    <w:p>
      <w:pPr>
        <w:spacing w:after="0"/>
        <w:jc w:val="both"/>
        <w:sectPr>
          <w:pgSz w:w="11910" w:h="16840"/>
          <w:pgMar w:header="0" w:footer="1554" w:top="1580" w:bottom="1740" w:left="860" w:right="620"/>
        </w:sectPr>
      </w:pPr>
    </w:p>
    <w:p>
      <w:pPr>
        <w:pStyle w:val="BodyText"/>
        <w:spacing w:before="11"/>
        <w:rPr>
          <w:sz w:val="20"/>
        </w:rPr>
      </w:pPr>
    </w:p>
    <w:p>
      <w:pPr>
        <w:pStyle w:val="BodyText"/>
        <w:spacing w:before="54"/>
        <w:ind w:left="729"/>
        <w:rPr>
          <w:rFonts w:ascii="黑体" w:eastAsia="黑体" w:hint="eastAsia"/>
        </w:rPr>
      </w:pPr>
      <w:r>
        <w:rPr>
          <w:rFonts w:ascii="黑体" w:eastAsia="黑体" w:hint="eastAsia"/>
        </w:rPr>
        <w:t>附件 2</w:t>
      </w:r>
    </w:p>
    <w:p>
      <w:pPr>
        <w:pStyle w:val="BodyText"/>
        <w:spacing w:before="0"/>
        <w:rPr>
          <w:rFonts w:ascii="黑体"/>
          <w:sz w:val="20"/>
        </w:rPr>
      </w:pPr>
    </w:p>
    <w:p>
      <w:pPr>
        <w:pStyle w:val="BodyText"/>
        <w:spacing w:before="3"/>
        <w:rPr>
          <w:rFonts w:ascii="黑体"/>
          <w:sz w:val="24"/>
        </w:rPr>
      </w:pPr>
    </w:p>
    <w:p>
      <w:pPr>
        <w:pStyle w:val="Heading2"/>
        <w:ind w:right="1148"/>
      </w:pPr>
      <w:r>
        <w:rPr/>
        <w:t>郯城县行政执法全过程记录办法</w:t>
      </w:r>
    </w:p>
    <w:p>
      <w:pPr>
        <w:pStyle w:val="BodyText"/>
        <w:spacing w:before="3"/>
        <w:rPr>
          <w:rFonts w:ascii="方正小标宋简体"/>
        </w:rPr>
      </w:pPr>
    </w:p>
    <w:p>
      <w:pPr>
        <w:pStyle w:val="BodyText"/>
        <w:tabs>
          <w:tab w:pos="1281" w:val="left" w:leader="none"/>
          <w:tab w:pos="1920" w:val="left" w:leader="none"/>
        </w:tabs>
        <w:spacing w:before="0"/>
        <w:ind w:right="235"/>
        <w:jc w:val="center"/>
        <w:rPr>
          <w:rFonts w:ascii="黑体" w:eastAsia="黑体" w:hint="eastAsia"/>
        </w:rPr>
      </w:pPr>
      <w:r>
        <w:rPr>
          <w:rFonts w:ascii="黑体" w:eastAsia="黑体" w:hint="eastAsia"/>
        </w:rPr>
        <w:t>第一章</w:t>
        <w:tab/>
        <w:t>总</w:t>
        <w:tab/>
        <w:t>则</w:t>
      </w:r>
    </w:p>
    <w:p>
      <w:pPr>
        <w:pStyle w:val="BodyText"/>
        <w:spacing w:before="0"/>
        <w:rPr>
          <w:rFonts w:ascii="黑体"/>
        </w:rPr>
      </w:pPr>
    </w:p>
    <w:p>
      <w:pPr>
        <w:pStyle w:val="BodyText"/>
        <w:spacing w:before="6"/>
        <w:rPr>
          <w:rFonts w:ascii="黑体"/>
          <w:sz w:val="23"/>
        </w:rPr>
      </w:pPr>
    </w:p>
    <w:p>
      <w:pPr>
        <w:pStyle w:val="BodyText"/>
        <w:spacing w:line="300" w:lineRule="auto" w:before="0"/>
        <w:ind w:left="729" w:right="807" w:firstLine="631"/>
        <w:jc w:val="both"/>
      </w:pPr>
      <w:r>
        <w:rPr>
          <w:rFonts w:ascii="黑体" w:eastAsia="黑体" w:hint="eastAsia"/>
          <w:spacing w:val="39"/>
        </w:rPr>
        <w:t>第一条 </w:t>
      </w:r>
      <w:r>
        <w:rPr/>
        <w:t>为了加强对行政执法信息的记录、收集和管理， 规范行政执法行为，保护公民、法人和其他组织的合法权益， </w:t>
      </w:r>
      <w:r>
        <w:rPr>
          <w:spacing w:val="-6"/>
        </w:rPr>
        <w:t>根据《中华人民共和国行政处罚法</w:t>
      </w:r>
      <w:r>
        <w:rPr>
          <w:spacing w:val="-18"/>
        </w:rPr>
        <w:t>》《中华人民共和国行政许可</w:t>
      </w:r>
      <w:r>
        <w:rPr>
          <w:spacing w:val="-17"/>
        </w:rPr>
        <w:t>法》《中华人民共和国行政强制法</w:t>
      </w:r>
      <w:r>
        <w:rPr>
          <w:spacing w:val="-18"/>
        </w:rPr>
        <w:t>》《山东省行政执法监督条例》</w:t>
      </w:r>
    </w:p>
    <w:p>
      <w:pPr>
        <w:pStyle w:val="BodyText"/>
        <w:spacing w:line="300" w:lineRule="auto"/>
        <w:ind w:left="729" w:right="1058"/>
      </w:pPr>
      <w:r>
        <w:rPr/>
        <w:t>《山东省行政程序规定》等法律、法规和规章的规定，结合本县实际，制定本办法。</w:t>
      </w:r>
    </w:p>
    <w:p>
      <w:pPr>
        <w:pStyle w:val="BodyText"/>
        <w:spacing w:line="300" w:lineRule="auto"/>
        <w:ind w:left="729" w:right="966" w:firstLine="645"/>
        <w:jc w:val="both"/>
      </w:pPr>
      <w:r>
        <w:rPr>
          <w:rFonts w:ascii="黑体" w:eastAsia="黑体" w:hint="eastAsia"/>
          <w:spacing w:val="38"/>
        </w:rPr>
        <w:t>第二条 </w:t>
      </w:r>
      <w:r>
        <w:rPr/>
        <w:t>本县行政区域内行政执法机关（包括法律法规授</w:t>
      </w:r>
      <w:r>
        <w:rPr>
          <w:spacing w:val="-12"/>
        </w:rPr>
        <w:t>权组织、依法受委托实施行政执法的组织</w:t>
      </w:r>
      <w:r>
        <w:rPr>
          <w:spacing w:val="-113"/>
        </w:rPr>
        <w:t>）</w:t>
      </w:r>
      <w:r>
        <w:rPr>
          <w:spacing w:val="-2"/>
        </w:rPr>
        <w:t>依法实施行政处罚、</w:t>
      </w:r>
      <w:r>
        <w:rPr/>
        <w:t>行政强制、行政检查、行政征收征用、行政许可等行政执法行为，适用本办法。</w:t>
      </w:r>
    </w:p>
    <w:p>
      <w:pPr>
        <w:pStyle w:val="BodyText"/>
        <w:spacing w:line="300" w:lineRule="auto" w:before="3"/>
        <w:ind w:left="729" w:right="1058" w:firstLine="631"/>
        <w:jc w:val="both"/>
      </w:pPr>
      <w:r>
        <w:rPr>
          <w:rFonts w:ascii="黑体" w:eastAsia="黑体" w:hint="eastAsia"/>
        </w:rPr>
        <w:t>第三条 </w:t>
      </w:r>
      <w:r>
        <w:rPr/>
        <w:t>行政执法全过程记录，是指行政执法机关通过文字记录、音像记录等方式，对行政执法的启动、调查取证、审核决定、送达执行等执法全过程进行跟踪记录、实时留痕的活动。</w:t>
      </w:r>
    </w:p>
    <w:p>
      <w:pPr>
        <w:pStyle w:val="BodyText"/>
        <w:spacing w:line="300" w:lineRule="auto"/>
        <w:ind w:left="729" w:right="1053" w:firstLine="645"/>
      </w:pPr>
      <w:r>
        <w:rPr/>
        <w:t>文字记录包括通过纸质或电子文件形式形成的行政执法文书、检测鉴定意见、专家论证报告、证据材料等。</w:t>
      </w:r>
    </w:p>
    <w:p>
      <w:pPr>
        <w:pStyle w:val="BodyText"/>
        <w:ind w:left="1374"/>
      </w:pPr>
      <w:r>
        <w:rPr/>
        <w:t>音像记录包括通过照相机、录音机、摄像机、执法记录仪、</w:t>
      </w:r>
    </w:p>
    <w:p>
      <w:pPr>
        <w:spacing w:after="0"/>
        <w:sectPr>
          <w:pgSz w:w="11910" w:h="16840"/>
          <w:pgMar w:header="0" w:footer="1554" w:top="1580" w:bottom="1740" w:left="860" w:right="620"/>
        </w:sectPr>
      </w:pPr>
    </w:p>
    <w:p>
      <w:pPr>
        <w:pStyle w:val="BodyText"/>
        <w:spacing w:before="10"/>
        <w:rPr>
          <w:sz w:val="21"/>
        </w:rPr>
      </w:pPr>
    </w:p>
    <w:p>
      <w:pPr>
        <w:pStyle w:val="BodyText"/>
        <w:spacing w:before="41"/>
        <w:ind w:left="729"/>
      </w:pPr>
      <w:r>
        <w:rPr/>
        <w:t>视频监控等记录设备形成的照片、录音、录像、视频等。</w:t>
      </w:r>
    </w:p>
    <w:p>
      <w:pPr>
        <w:pStyle w:val="BodyText"/>
        <w:spacing w:line="300" w:lineRule="auto" w:before="112"/>
        <w:ind w:left="729" w:right="967" w:firstLine="645"/>
        <w:jc w:val="both"/>
      </w:pPr>
      <w:r>
        <w:rPr>
          <w:rFonts w:ascii="黑体" w:eastAsia="黑体" w:hint="eastAsia"/>
          <w:spacing w:val="38"/>
        </w:rPr>
        <w:t>第四条 </w:t>
      </w:r>
      <w:r>
        <w:rPr>
          <w:spacing w:val="-14"/>
        </w:rPr>
        <w:t>行政执法全过程记录应当遵循合法、全面、客观、</w:t>
      </w:r>
      <w:r>
        <w:rPr/>
        <w:t>及时、可追溯的原则。</w:t>
      </w:r>
    </w:p>
    <w:p>
      <w:pPr>
        <w:pStyle w:val="BodyText"/>
        <w:spacing w:line="300" w:lineRule="auto"/>
        <w:ind w:left="729" w:right="974" w:firstLine="724"/>
        <w:jc w:val="both"/>
      </w:pPr>
      <w:r>
        <w:rPr/>
        <w:t>行政执法机关应当制定行政执法全过程记录办法，根据行政执法行为的类别、阶段和环节等不同情况，采取适当、有效的方式，对行政执法全过程进行记录，并进行归档管理。</w:t>
      </w:r>
    </w:p>
    <w:p>
      <w:pPr>
        <w:pStyle w:val="BodyText"/>
        <w:spacing w:line="300" w:lineRule="auto"/>
        <w:ind w:left="729" w:right="968" w:firstLine="631"/>
        <w:jc w:val="both"/>
      </w:pPr>
      <w:r>
        <w:rPr>
          <w:rFonts w:ascii="黑体" w:eastAsia="黑体" w:hint="eastAsia"/>
          <w:spacing w:val="38"/>
        </w:rPr>
        <w:t>第五条 </w:t>
      </w:r>
      <w:r>
        <w:rPr/>
        <w:t>行政执法机关对查封扣押财产、强制拆除等直接涉及人身自由、生命健康、重大财产权益的现场执法活动和执</w:t>
      </w:r>
      <w:r>
        <w:rPr>
          <w:spacing w:val="-16"/>
        </w:rPr>
        <w:t>法办案场所，应当实行全程音像记录；对现场执法、调查取证、</w:t>
      </w:r>
      <w:r>
        <w:rPr/>
        <w:t>举行听证、留置送达和公告送达等容易引发争议的行政执法过程，可以根据实际情况进行音像记录；对文字记录能够全面有效记录执法行为的，可以不进行音像记录。</w:t>
      </w:r>
    </w:p>
    <w:p>
      <w:pPr>
        <w:pStyle w:val="BodyText"/>
        <w:spacing w:line="300" w:lineRule="auto" w:before="4"/>
        <w:ind w:left="729" w:right="1051" w:firstLine="645"/>
        <w:jc w:val="both"/>
      </w:pPr>
      <w:r>
        <w:rPr>
          <w:rFonts w:ascii="黑体" w:eastAsia="黑体" w:hint="eastAsia"/>
        </w:rPr>
        <w:t>第六条 </w:t>
      </w:r>
      <w:r>
        <w:rPr/>
        <w:t>行政执法机关应当按照工作必需、厉行节约、性能适度、安全稳定、适量够用的原则，配备音像记录设备、建设询问室和听证室等音像记录场所，规范文明开展音像记录。</w:t>
      </w:r>
    </w:p>
    <w:p>
      <w:pPr>
        <w:pStyle w:val="BodyText"/>
        <w:rPr>
          <w:sz w:val="40"/>
        </w:rPr>
      </w:pPr>
    </w:p>
    <w:p>
      <w:pPr>
        <w:pStyle w:val="BodyText"/>
        <w:tabs>
          <w:tab w:pos="1281" w:val="left" w:leader="none"/>
        </w:tabs>
        <w:spacing w:before="0"/>
        <w:ind w:right="233"/>
        <w:jc w:val="center"/>
        <w:rPr>
          <w:rFonts w:ascii="黑体" w:eastAsia="黑体" w:hint="eastAsia"/>
        </w:rPr>
      </w:pPr>
      <w:r>
        <w:rPr>
          <w:rFonts w:ascii="黑体" w:eastAsia="黑体" w:hint="eastAsia"/>
        </w:rPr>
        <w:t>第二章</w:t>
        <w:tab/>
        <w:t>程序启动的记录</w:t>
      </w:r>
    </w:p>
    <w:p>
      <w:pPr>
        <w:pStyle w:val="BodyText"/>
        <w:spacing w:before="0"/>
        <w:rPr>
          <w:rFonts w:ascii="黑体"/>
        </w:rPr>
      </w:pPr>
    </w:p>
    <w:p>
      <w:pPr>
        <w:pStyle w:val="BodyText"/>
        <w:spacing w:before="6"/>
        <w:rPr>
          <w:rFonts w:ascii="黑体"/>
          <w:sz w:val="23"/>
        </w:rPr>
      </w:pPr>
    </w:p>
    <w:p>
      <w:pPr>
        <w:pStyle w:val="BodyText"/>
        <w:spacing w:line="300" w:lineRule="auto" w:before="0"/>
        <w:ind w:left="729" w:right="1053" w:firstLine="645"/>
        <w:jc w:val="both"/>
      </w:pPr>
      <w:r>
        <w:rPr>
          <w:rFonts w:ascii="黑体" w:eastAsia="黑体" w:hint="eastAsia"/>
        </w:rPr>
        <w:t>第七条 </w:t>
      </w:r>
      <w:r>
        <w:rPr/>
        <w:t>行政执法机关依公民、法人或者其他组织申请启动行政执法程序的，应当对文字申请、口头申请、受理或者不予受理、当场更正、补正更正材料等内容予以文字记录。</w:t>
      </w:r>
    </w:p>
    <w:p>
      <w:pPr>
        <w:pStyle w:val="BodyText"/>
        <w:spacing w:line="300" w:lineRule="auto" w:before="3"/>
        <w:ind w:left="729" w:right="1053" w:firstLine="645"/>
      </w:pPr>
      <w:r>
        <w:rPr/>
        <w:t>行政执法机关可以在受理地点安装电子监控系统，适时记录受理、办理过程。</w:t>
      </w:r>
    </w:p>
    <w:p>
      <w:pPr>
        <w:spacing w:after="0" w:line="300" w:lineRule="auto"/>
        <w:sectPr>
          <w:pgSz w:w="11910" w:h="16840"/>
          <w:pgMar w:header="0" w:footer="1554" w:top="1580" w:bottom="1740" w:left="860" w:right="620"/>
        </w:sectPr>
      </w:pPr>
    </w:p>
    <w:p>
      <w:pPr>
        <w:pStyle w:val="BodyText"/>
        <w:spacing w:before="11"/>
        <w:rPr>
          <w:sz w:val="20"/>
        </w:rPr>
      </w:pPr>
    </w:p>
    <w:p>
      <w:pPr>
        <w:pStyle w:val="BodyText"/>
        <w:spacing w:line="300" w:lineRule="auto" w:before="54"/>
        <w:ind w:left="729" w:right="1053" w:firstLine="645"/>
        <w:jc w:val="both"/>
      </w:pPr>
      <w:r>
        <w:rPr>
          <w:rFonts w:ascii="黑体" w:eastAsia="黑体" w:hint="eastAsia"/>
        </w:rPr>
        <w:t>第八条 </w:t>
      </w:r>
      <w:r>
        <w:rPr/>
        <w:t>行政执法机关依职权启动行政执法程序的，应当对启动原因、案件来源、当事人基本情况、基本案情、承办人意见、承办机构意见、行政执法机关负责人意见、时间等内容予以文字记录。</w:t>
      </w:r>
    </w:p>
    <w:p>
      <w:pPr>
        <w:pStyle w:val="BodyText"/>
        <w:spacing w:line="300" w:lineRule="auto"/>
        <w:ind w:left="729" w:right="1053" w:firstLine="645"/>
      </w:pPr>
      <w:r>
        <w:rPr/>
        <w:t>依法不启动行政执法程序的，应当对告知当事人或者向社会公示等相关情况予以文字记录。</w:t>
      </w:r>
    </w:p>
    <w:p>
      <w:pPr>
        <w:pStyle w:val="BodyText"/>
        <w:tabs>
          <w:tab w:pos="2656" w:val="left" w:leader="none"/>
        </w:tabs>
        <w:spacing w:line="300" w:lineRule="auto"/>
        <w:ind w:left="729" w:right="806" w:firstLine="645"/>
      </w:pPr>
      <w:r>
        <w:rPr>
          <w:rFonts w:ascii="黑体" w:eastAsia="黑体" w:hint="eastAsia"/>
        </w:rPr>
        <w:t>第九条</w:t>
        <w:tab/>
      </w:r>
      <w:r>
        <w:rPr/>
        <w:t>行政执法机关接到公民</w:t>
      </w:r>
      <w:r>
        <w:rPr>
          <w:spacing w:val="-75"/>
        </w:rPr>
        <w:t>、</w:t>
      </w:r>
      <w:r>
        <w:rPr/>
        <w:t>法人或者其他组织投诉</w:t>
      </w:r>
      <w:r>
        <w:rPr>
          <w:spacing w:val="-15"/>
        </w:rPr>
        <w:t>、</w:t>
      </w:r>
      <w:r>
        <w:rPr/>
        <w:t>举报启动执法程序的，应当文字记录投诉、举报人基本情况， 投诉</w:t>
      </w:r>
      <w:r>
        <w:rPr>
          <w:spacing w:val="-58"/>
        </w:rPr>
        <w:t>、</w:t>
      </w:r>
      <w:r>
        <w:rPr/>
        <w:t>举报的内容</w:t>
      </w:r>
      <w:r>
        <w:rPr>
          <w:spacing w:val="-58"/>
        </w:rPr>
        <w:t>，</w:t>
      </w:r>
      <w:r>
        <w:rPr/>
        <w:t>记录人情况</w:t>
      </w:r>
      <w:r>
        <w:rPr>
          <w:spacing w:val="-58"/>
        </w:rPr>
        <w:t>，</w:t>
      </w:r>
      <w:r>
        <w:rPr/>
        <w:t>投诉</w:t>
      </w:r>
      <w:r>
        <w:rPr>
          <w:spacing w:val="-58"/>
        </w:rPr>
        <w:t>、</w:t>
      </w:r>
      <w:r>
        <w:rPr/>
        <w:t>举报处理情况等内容。</w:t>
      </w:r>
    </w:p>
    <w:p>
      <w:pPr>
        <w:pStyle w:val="BodyText"/>
        <w:spacing w:line="300" w:lineRule="auto"/>
        <w:ind w:left="729" w:right="892" w:firstLine="803"/>
      </w:pPr>
      <w:r>
        <w:rPr/>
        <w:t>对实名投诉、举报经审查不启动行政执法程序的，应当对告知投诉人、举报人及其他相关情况予以文字记录。</w:t>
      </w:r>
    </w:p>
    <w:p>
      <w:pPr>
        <w:pStyle w:val="BodyText"/>
        <w:rPr>
          <w:sz w:val="40"/>
        </w:rPr>
      </w:pPr>
    </w:p>
    <w:p>
      <w:pPr>
        <w:pStyle w:val="BodyText"/>
        <w:tabs>
          <w:tab w:pos="1281" w:val="left" w:leader="none"/>
        </w:tabs>
        <w:spacing w:before="0"/>
        <w:ind w:right="233"/>
        <w:jc w:val="center"/>
        <w:rPr>
          <w:rFonts w:ascii="黑体" w:eastAsia="黑体" w:hint="eastAsia"/>
        </w:rPr>
      </w:pPr>
      <w:r>
        <w:rPr>
          <w:rFonts w:ascii="黑体" w:eastAsia="黑体" w:hint="eastAsia"/>
        </w:rPr>
        <w:t>第三章</w:t>
        <w:tab/>
        <w:t>调查和取证的记录</w:t>
      </w:r>
    </w:p>
    <w:p>
      <w:pPr>
        <w:pStyle w:val="BodyText"/>
        <w:spacing w:before="0"/>
        <w:rPr>
          <w:rFonts w:ascii="黑体"/>
        </w:rPr>
      </w:pPr>
    </w:p>
    <w:p>
      <w:pPr>
        <w:pStyle w:val="BodyText"/>
        <w:spacing w:before="4"/>
        <w:rPr>
          <w:rFonts w:ascii="黑体"/>
          <w:sz w:val="23"/>
        </w:rPr>
      </w:pPr>
    </w:p>
    <w:p>
      <w:pPr>
        <w:pStyle w:val="BodyText"/>
        <w:spacing w:line="300" w:lineRule="auto" w:before="0"/>
        <w:ind w:left="729" w:right="1053" w:firstLine="645"/>
        <w:jc w:val="both"/>
      </w:pPr>
      <w:r>
        <w:rPr>
          <w:rFonts w:ascii="黑体" w:eastAsia="黑体" w:hint="eastAsia"/>
        </w:rPr>
        <w:t>第十条 </w:t>
      </w:r>
      <w:r>
        <w:rPr/>
        <w:t>行政执法机关在调查、取证过程中应当对调查、取证、现场询问情况进行文字记录，重点记录下列内容，并制作相应的行政执法文书：</w:t>
      </w:r>
    </w:p>
    <w:p>
      <w:pPr>
        <w:pStyle w:val="BodyText"/>
        <w:ind w:left="1374"/>
      </w:pPr>
      <w:r>
        <w:rPr/>
        <w:t>（一）询问当事人情况；</w:t>
      </w:r>
    </w:p>
    <w:p>
      <w:pPr>
        <w:pStyle w:val="BodyText"/>
        <w:spacing w:before="114"/>
        <w:ind w:left="1374"/>
      </w:pPr>
      <w:r>
        <w:rPr/>
        <w:t>（二）询问证人情况；</w:t>
      </w:r>
    </w:p>
    <w:p>
      <w:pPr>
        <w:pStyle w:val="BodyText"/>
        <w:spacing w:before="112"/>
        <w:ind w:left="1374"/>
      </w:pPr>
      <w:r>
        <w:rPr/>
        <w:t>（三）向有关单位和个人调取书证、物证情况；</w:t>
      </w:r>
    </w:p>
    <w:p>
      <w:pPr>
        <w:pStyle w:val="BodyText"/>
        <w:spacing w:before="112"/>
        <w:ind w:left="1374"/>
      </w:pPr>
      <w:r>
        <w:rPr/>
        <w:t>（四）现场检查（勘验）情况；</w:t>
      </w:r>
    </w:p>
    <w:p>
      <w:pPr>
        <w:pStyle w:val="BodyText"/>
        <w:spacing w:before="114"/>
        <w:ind w:left="1374"/>
      </w:pPr>
      <w:r>
        <w:rPr/>
        <w:t>（五）抽样取证情况；</w:t>
      </w:r>
    </w:p>
    <w:p>
      <w:pPr>
        <w:pStyle w:val="BodyText"/>
        <w:spacing w:before="112"/>
        <w:ind w:left="1374"/>
      </w:pPr>
      <w:r>
        <w:rPr/>
        <w:t>（六）先行登记保存证据情况；</w:t>
      </w:r>
    </w:p>
    <w:p>
      <w:pPr>
        <w:spacing w:after="0"/>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1053" w:firstLine="645"/>
      </w:pPr>
      <w:r>
        <w:rPr/>
        <w:t>（七）委托法定机构进行检验、检测、检疫、鉴定和专家评审情况；</w:t>
      </w:r>
    </w:p>
    <w:p>
      <w:pPr>
        <w:pStyle w:val="BodyText"/>
        <w:spacing w:line="447" w:lineRule="exact" w:before="0"/>
        <w:ind w:left="1374"/>
      </w:pPr>
      <w:r>
        <w:rPr/>
        <w:t>（八）其他调查取证活动应当记录的内容。</w:t>
      </w:r>
    </w:p>
    <w:p>
      <w:pPr>
        <w:pStyle w:val="BodyText"/>
        <w:spacing w:line="300" w:lineRule="auto" w:before="114"/>
        <w:ind w:left="729" w:right="1053" w:firstLine="645"/>
        <w:jc w:val="both"/>
      </w:pPr>
      <w:r>
        <w:rPr>
          <w:rFonts w:ascii="黑体" w:eastAsia="黑体" w:hint="eastAsia"/>
        </w:rPr>
        <w:t>第十一条 </w:t>
      </w:r>
      <w:r>
        <w:rPr/>
        <w:t>行政执法机关依法检查当事人的人身、场所、物品，询问当事人和证人，先行登记保存以及抽样取证，实施冻结存款、汇款等行政强制措施的，可以采用音像方式对执法现场进行记录。</w:t>
      </w:r>
    </w:p>
    <w:p>
      <w:pPr>
        <w:pStyle w:val="BodyText"/>
        <w:spacing w:line="300" w:lineRule="auto" w:before="3"/>
        <w:ind w:left="729" w:right="1053" w:firstLine="645"/>
        <w:jc w:val="both"/>
      </w:pPr>
      <w:r>
        <w:rPr>
          <w:rFonts w:ascii="黑体" w:eastAsia="黑体" w:hint="eastAsia"/>
        </w:rPr>
        <w:t>第十二条 </w:t>
      </w:r>
      <w:r>
        <w:rPr/>
        <w:t>采用音像方式对执法现场进行记录时，应当重点记录下列内容：</w:t>
      </w:r>
    </w:p>
    <w:p>
      <w:pPr>
        <w:pStyle w:val="BodyText"/>
        <w:ind w:left="1374"/>
      </w:pPr>
      <w:r>
        <w:rPr/>
        <w:t>（一）执法现场的环境；</w:t>
      </w:r>
    </w:p>
    <w:p>
      <w:pPr>
        <w:pStyle w:val="BodyText"/>
        <w:spacing w:line="300" w:lineRule="auto" w:before="111"/>
        <w:ind w:left="729" w:right="1053" w:firstLine="645"/>
      </w:pPr>
      <w:r>
        <w:rPr/>
        <w:t>（二）当事人、证人、第三人等现场有关人员的体貌特征和言行举止；</w:t>
      </w:r>
    </w:p>
    <w:p>
      <w:pPr>
        <w:pStyle w:val="BodyText"/>
        <w:ind w:left="1374"/>
      </w:pPr>
      <w:r>
        <w:rPr/>
        <w:t>（三）重要涉案物品等相关证据及其主要特征；</w:t>
      </w:r>
    </w:p>
    <w:p>
      <w:pPr>
        <w:pStyle w:val="BodyText"/>
        <w:spacing w:before="113"/>
        <w:ind w:left="1374"/>
      </w:pPr>
      <w:r>
        <w:rPr/>
        <w:t>（四）行政执法人员对有关人员、财物采取措施的情况；</w:t>
      </w:r>
    </w:p>
    <w:p>
      <w:pPr>
        <w:pStyle w:val="BodyText"/>
        <w:spacing w:before="111"/>
        <w:ind w:left="1374"/>
      </w:pPr>
      <w:r>
        <w:rPr/>
        <w:t>（五）行政执法人员现场送达行政执法文书的情况；</w:t>
      </w:r>
    </w:p>
    <w:p>
      <w:pPr>
        <w:pStyle w:val="BodyText"/>
        <w:spacing w:before="114"/>
        <w:ind w:left="1374"/>
      </w:pPr>
      <w:r>
        <w:rPr/>
        <w:t>（六）其他应当记录的内容。</w:t>
      </w:r>
    </w:p>
    <w:p>
      <w:pPr>
        <w:pStyle w:val="BodyText"/>
        <w:spacing w:before="0"/>
        <w:rPr>
          <w:sz w:val="48"/>
        </w:rPr>
      </w:pPr>
    </w:p>
    <w:p>
      <w:pPr>
        <w:pStyle w:val="BodyText"/>
        <w:tabs>
          <w:tab w:pos="1281" w:val="left" w:leader="none"/>
        </w:tabs>
        <w:spacing w:before="0"/>
        <w:ind w:right="233"/>
        <w:jc w:val="center"/>
        <w:rPr>
          <w:rFonts w:ascii="黑体" w:eastAsia="黑体" w:hint="eastAsia"/>
        </w:rPr>
      </w:pPr>
      <w:r>
        <w:rPr>
          <w:rFonts w:ascii="黑体" w:eastAsia="黑体" w:hint="eastAsia"/>
        </w:rPr>
        <w:t>第四章</w:t>
        <w:tab/>
        <w:t>审查与决定的记录</w:t>
      </w:r>
    </w:p>
    <w:p>
      <w:pPr>
        <w:pStyle w:val="BodyText"/>
        <w:spacing w:before="0"/>
        <w:rPr>
          <w:rFonts w:ascii="黑体"/>
        </w:rPr>
      </w:pPr>
    </w:p>
    <w:p>
      <w:pPr>
        <w:pStyle w:val="BodyText"/>
        <w:spacing w:before="6"/>
        <w:rPr>
          <w:rFonts w:ascii="黑体"/>
          <w:sz w:val="23"/>
        </w:rPr>
      </w:pPr>
    </w:p>
    <w:p>
      <w:pPr>
        <w:pStyle w:val="BodyText"/>
        <w:spacing w:line="300" w:lineRule="auto" w:before="0"/>
        <w:ind w:left="729" w:right="1057" w:firstLine="640"/>
        <w:jc w:val="both"/>
      </w:pPr>
      <w:r>
        <w:rPr>
          <w:rFonts w:ascii="黑体" w:eastAsia="黑体" w:hint="eastAsia"/>
        </w:rPr>
        <w:t>第十三条 </w:t>
      </w:r>
      <w:r>
        <w:rPr/>
        <w:t>行政执法机关作出行政执法决定前，应当对行政执法案件审理情况、审核情况及批准情况进行文字记录。</w:t>
      </w:r>
    </w:p>
    <w:p>
      <w:pPr>
        <w:pStyle w:val="BodyText"/>
        <w:spacing w:line="300" w:lineRule="auto" w:before="3"/>
        <w:ind w:left="729" w:right="1053" w:firstLine="645"/>
        <w:jc w:val="both"/>
      </w:pPr>
      <w:r>
        <w:rPr>
          <w:rFonts w:ascii="黑体" w:eastAsia="黑体" w:hint="eastAsia"/>
        </w:rPr>
        <w:t>第十四条 </w:t>
      </w:r>
      <w:r>
        <w:rPr/>
        <w:t>行政执法机关依法履行告知当事人陈述、申辩义务的，告知文书中应当载明相关事实、证据、依据、内容以</w:t>
      </w:r>
    </w:p>
    <w:p>
      <w:pPr>
        <w:spacing w:after="0" w:line="300" w:lineRule="auto"/>
        <w:jc w:val="both"/>
        <w:sectPr>
          <w:pgSz w:w="11910" w:h="16840"/>
          <w:pgMar w:header="0" w:footer="1554" w:top="1580" w:bottom="1740" w:left="860" w:right="620"/>
        </w:sectPr>
      </w:pPr>
    </w:p>
    <w:p>
      <w:pPr>
        <w:pStyle w:val="BodyText"/>
        <w:spacing w:before="10"/>
        <w:rPr>
          <w:sz w:val="21"/>
        </w:rPr>
      </w:pPr>
    </w:p>
    <w:p>
      <w:pPr>
        <w:pStyle w:val="BodyText"/>
        <w:spacing w:before="41"/>
        <w:ind w:left="729"/>
      </w:pPr>
      <w:r>
        <w:rPr/>
        <w:t>及当事人享有陈述权、申辩权等内容。</w:t>
      </w:r>
    </w:p>
    <w:p>
      <w:pPr>
        <w:pStyle w:val="BodyText"/>
        <w:spacing w:line="300" w:lineRule="auto" w:before="112"/>
        <w:ind w:left="729" w:right="967" w:firstLine="724"/>
        <w:jc w:val="both"/>
      </w:pPr>
      <w:r>
        <w:rPr/>
        <w:t>行政执法机关听取当事人陈述、申辩的，应当对陈述、申</w:t>
      </w:r>
      <w:r>
        <w:rPr>
          <w:spacing w:val="-14"/>
        </w:rPr>
        <w:t>辩的内容及采纳情况予以文字记录。当事人放弃陈述、申辩的， </w:t>
      </w:r>
      <w:r>
        <w:rPr/>
        <w:t>行政执法机关应当对放弃陈述、申辩情况予以文字记录。</w:t>
      </w:r>
    </w:p>
    <w:p>
      <w:pPr>
        <w:pStyle w:val="BodyText"/>
        <w:spacing w:line="300" w:lineRule="auto"/>
        <w:ind w:left="729" w:right="1057" w:firstLine="640"/>
        <w:jc w:val="both"/>
      </w:pPr>
      <w:r>
        <w:rPr>
          <w:rFonts w:ascii="黑体" w:eastAsia="黑体" w:hint="eastAsia"/>
        </w:rPr>
        <w:t>第十五条 </w:t>
      </w:r>
      <w:r>
        <w:rPr/>
        <w:t>行政执法机关依法组织听证的，应当对听证的告知和申请情况，听证的时间、地点、参加人员及听证会具体内容等予以文字记录。必要时，可以采用音像方式进行辅助记录。</w:t>
      </w:r>
    </w:p>
    <w:p>
      <w:pPr>
        <w:pStyle w:val="BodyText"/>
        <w:spacing w:line="300" w:lineRule="auto"/>
        <w:ind w:left="729" w:right="1057" w:firstLine="640"/>
        <w:jc w:val="both"/>
      </w:pPr>
      <w:r>
        <w:rPr>
          <w:rFonts w:ascii="黑体" w:eastAsia="黑体" w:hint="eastAsia"/>
        </w:rPr>
        <w:t>第十六条 </w:t>
      </w:r>
      <w:r>
        <w:rPr/>
        <w:t>行政执法机关作出行政执法决定，应当对行政执法机关负责人的签署意见和签发时间予以文字记录；行政执法决定依法需经法制审核的，应当对法制审核意见、审查人等内容予以文字记录；依法需经专家论证的，应当对专家论证情况予以文字记录；经集体讨论的，应当对集体讨论情况予以文字记录。</w:t>
      </w:r>
    </w:p>
    <w:p>
      <w:pPr>
        <w:pStyle w:val="BodyText"/>
        <w:spacing w:before="6"/>
        <w:rPr>
          <w:sz w:val="40"/>
        </w:rPr>
      </w:pPr>
    </w:p>
    <w:p>
      <w:pPr>
        <w:pStyle w:val="BodyText"/>
        <w:tabs>
          <w:tab w:pos="1281" w:val="left" w:leader="none"/>
        </w:tabs>
        <w:spacing w:before="0"/>
        <w:ind w:right="233"/>
        <w:jc w:val="center"/>
        <w:rPr>
          <w:rFonts w:ascii="黑体" w:eastAsia="黑体" w:hint="eastAsia"/>
        </w:rPr>
      </w:pPr>
      <w:r>
        <w:rPr>
          <w:rFonts w:ascii="黑体" w:eastAsia="黑体" w:hint="eastAsia"/>
        </w:rPr>
        <w:t>第五章</w:t>
        <w:tab/>
        <w:t>送达与执行记录</w:t>
      </w:r>
    </w:p>
    <w:p>
      <w:pPr>
        <w:pStyle w:val="BodyText"/>
        <w:spacing w:before="0"/>
        <w:rPr>
          <w:rFonts w:ascii="黑体"/>
        </w:rPr>
      </w:pPr>
    </w:p>
    <w:p>
      <w:pPr>
        <w:pStyle w:val="BodyText"/>
        <w:spacing w:before="4"/>
        <w:rPr>
          <w:rFonts w:ascii="黑体"/>
          <w:sz w:val="23"/>
        </w:rPr>
      </w:pPr>
    </w:p>
    <w:p>
      <w:pPr>
        <w:pStyle w:val="BodyText"/>
        <w:spacing w:line="300" w:lineRule="auto" w:before="0"/>
        <w:ind w:left="729" w:right="1067" w:firstLine="631"/>
        <w:jc w:val="both"/>
      </w:pPr>
      <w:r>
        <w:rPr>
          <w:rFonts w:ascii="黑体" w:eastAsia="黑体" w:hint="eastAsia"/>
        </w:rPr>
        <w:t>第十七条 </w:t>
      </w:r>
      <w:r>
        <w:rPr/>
        <w:t>行政执法机关送达行政执法文书，应当文字记录送达情况。</w:t>
      </w:r>
    </w:p>
    <w:p>
      <w:pPr>
        <w:pStyle w:val="BodyText"/>
        <w:spacing w:line="300" w:lineRule="auto"/>
        <w:ind w:left="729" w:right="1057" w:firstLine="640"/>
        <w:jc w:val="both"/>
      </w:pPr>
      <w:r>
        <w:rPr>
          <w:rFonts w:ascii="黑体" w:eastAsia="黑体" w:hint="eastAsia"/>
        </w:rPr>
        <w:t>第十八条 </w:t>
      </w:r>
      <w:r>
        <w:rPr/>
        <w:t>行政执法机关直接送达行政执法文书的，应当对送达文书名称、送达时间和地点、行政执法机关印章及送达人、受送达人或者符合法定条件的签收人员等内容予以文字记录。必要时可以对送达过程进行音像记录。</w:t>
      </w:r>
    </w:p>
    <w:p>
      <w:pPr>
        <w:spacing w:after="0" w:line="300" w:lineRule="auto"/>
        <w:jc w:val="both"/>
        <w:sectPr>
          <w:pgSz w:w="11910" w:h="16840"/>
          <w:pgMar w:header="0" w:footer="1554" w:top="1580" w:bottom="1740" w:left="860" w:right="620"/>
        </w:sectPr>
      </w:pPr>
    </w:p>
    <w:p>
      <w:pPr>
        <w:pStyle w:val="BodyText"/>
        <w:spacing w:before="11"/>
        <w:rPr>
          <w:sz w:val="20"/>
        </w:rPr>
      </w:pPr>
    </w:p>
    <w:p>
      <w:pPr>
        <w:pStyle w:val="BodyText"/>
        <w:tabs>
          <w:tab w:pos="2330" w:val="left" w:leader="none"/>
          <w:tab w:pos="2961" w:val="left" w:leader="none"/>
        </w:tabs>
        <w:spacing w:line="300" w:lineRule="auto" w:before="54"/>
        <w:ind w:left="729" w:right="1053" w:firstLine="631"/>
        <w:jc w:val="right"/>
      </w:pPr>
      <w:r>
        <w:rPr>
          <w:rFonts w:ascii="黑体" w:eastAsia="黑体" w:hint="eastAsia"/>
        </w:rPr>
        <w:t>第十九条</w:t>
        <w:tab/>
      </w:r>
      <w:r>
        <w:rPr>
          <w:w w:val="95"/>
        </w:rPr>
        <w:t>行政执法机关邮寄送达行政执法文书的，应当 采用挂号信或者邮政特快专递方式，留存邮寄送达的登记、付 邮凭证、回执和载明行政执法文书的名称及文号的邮寄清单。 </w:t>
      </w:r>
      <w:r>
        <w:rPr>
          <w:rFonts w:ascii="黑体" w:eastAsia="黑体" w:hint="eastAsia"/>
        </w:rPr>
        <w:t>第二十条</w:t>
        <w:tab/>
      </w:r>
      <w:r>
        <w:rPr>
          <w:w w:val="95"/>
        </w:rPr>
        <w:t>行政执法机关留置送达行政执法文书的，应当</w:t>
      </w:r>
    </w:p>
    <w:p>
      <w:pPr>
        <w:pStyle w:val="BodyText"/>
        <w:spacing w:line="300" w:lineRule="auto"/>
        <w:ind w:left="729" w:right="1058"/>
      </w:pPr>
      <w:r>
        <w:rPr/>
        <w:t>对留置事由、留置地点和时间、送达人、见证人等内容予以文字记录。</w:t>
      </w:r>
    </w:p>
    <w:p>
      <w:pPr>
        <w:pStyle w:val="BodyText"/>
        <w:tabs>
          <w:tab w:pos="2649" w:val="left" w:leader="none"/>
        </w:tabs>
        <w:spacing w:line="300" w:lineRule="auto"/>
        <w:ind w:left="729" w:right="1051" w:firstLine="645"/>
        <w:jc w:val="right"/>
      </w:pPr>
      <w:r>
        <w:rPr>
          <w:w w:val="95"/>
        </w:rPr>
        <w:t>行政执法机关可以音像记录留置送达过程，详细记录送</w:t>
      </w:r>
      <w:r>
        <w:rPr>
          <w:spacing w:val="-15"/>
          <w:w w:val="95"/>
        </w:rPr>
        <w:t>达 </w:t>
      </w:r>
      <w:r>
        <w:rPr>
          <w:w w:val="95"/>
        </w:rPr>
        <w:t>文书的内容、留置原因、留置地点和时间、在场人员等内容。 </w:t>
      </w:r>
      <w:r>
        <w:rPr>
          <w:rFonts w:ascii="黑体" w:eastAsia="黑体" w:hint="eastAsia"/>
        </w:rPr>
        <w:t>第二十一条</w:t>
        <w:tab/>
      </w:r>
      <w:r>
        <w:rPr>
          <w:w w:val="95"/>
        </w:rPr>
        <w:t>行政执法机关依法采用委托、转交等方式送</w:t>
      </w:r>
    </w:p>
    <w:p>
      <w:pPr>
        <w:pStyle w:val="BodyText"/>
        <w:spacing w:line="300" w:lineRule="auto"/>
        <w:ind w:left="729" w:right="1058"/>
      </w:pPr>
      <w:r>
        <w:rPr/>
        <w:t>达行政执法文书的，应当对委托、转交的原因及送达人、签收人情况等内容予以文字记录。</w:t>
      </w:r>
    </w:p>
    <w:p>
      <w:pPr>
        <w:pStyle w:val="BodyText"/>
        <w:spacing w:line="300" w:lineRule="auto" w:before="0"/>
        <w:ind w:left="729" w:right="1053" w:firstLine="645"/>
        <w:jc w:val="both"/>
      </w:pPr>
      <w:r>
        <w:rPr>
          <w:rFonts w:ascii="黑体" w:eastAsia="黑体" w:hint="eastAsia"/>
        </w:rPr>
        <w:t>第二十二条 </w:t>
      </w:r>
      <w:r>
        <w:rPr/>
        <w:t>行政执法机关采取张贴公告、在报纸上刊登公告等方式送达行政执法文书的，应当文字记录采取公告送达的原因、公告载体，并留存文字公告。</w:t>
      </w:r>
    </w:p>
    <w:p>
      <w:pPr>
        <w:pStyle w:val="BodyText"/>
        <w:spacing w:line="300" w:lineRule="auto"/>
        <w:ind w:left="729" w:right="1053" w:firstLine="645"/>
        <w:jc w:val="both"/>
      </w:pPr>
      <w:r>
        <w:rPr/>
        <w:t>行政执法机关采取张贴公告方式送达的，可以音像记录送达过程，详细记录张贴公告的内容、时间、地点、在场人员等内容。</w:t>
      </w:r>
    </w:p>
    <w:p>
      <w:pPr>
        <w:pStyle w:val="BodyText"/>
        <w:spacing w:line="300" w:lineRule="auto"/>
        <w:ind w:left="729" w:right="1053" w:firstLine="645"/>
        <w:jc w:val="both"/>
      </w:pPr>
      <w:r>
        <w:rPr>
          <w:rFonts w:ascii="黑体" w:eastAsia="黑体" w:hint="eastAsia"/>
        </w:rPr>
        <w:t>第二十三条 </w:t>
      </w:r>
      <w:r>
        <w:rPr/>
        <w:t>行政执法机关应当对行政执法决定执行情况进行文字记录。</w:t>
      </w:r>
    </w:p>
    <w:p>
      <w:pPr>
        <w:pStyle w:val="BodyText"/>
        <w:tabs>
          <w:tab w:pos="2649" w:val="left" w:leader="none"/>
        </w:tabs>
        <w:spacing w:line="300" w:lineRule="auto"/>
        <w:ind w:left="729" w:right="965" w:firstLine="645"/>
        <w:jc w:val="right"/>
      </w:pPr>
      <w:r>
        <w:rPr>
          <w:w w:val="95"/>
        </w:rPr>
        <w:t>行政执法机关依法责令当事人改正违法行为的，应当记录 实地核查情况</w:t>
      </w:r>
      <w:r>
        <w:rPr>
          <w:spacing w:val="-113"/>
          <w:w w:val="95"/>
        </w:rPr>
        <w:t>、</w:t>
      </w:r>
      <w:r>
        <w:rPr>
          <w:w w:val="95"/>
        </w:rPr>
        <w:t>违法行为改正情况</w:t>
      </w:r>
      <w:r>
        <w:rPr>
          <w:spacing w:val="-116"/>
          <w:w w:val="95"/>
        </w:rPr>
        <w:t>，</w:t>
      </w:r>
      <w:r>
        <w:rPr>
          <w:w w:val="95"/>
        </w:rPr>
        <w:t>必要时可以进行音像记录</w:t>
      </w:r>
      <w:r>
        <w:rPr>
          <w:spacing w:val="-15"/>
          <w:w w:val="95"/>
        </w:rPr>
        <w:t>。 </w:t>
      </w:r>
      <w:r>
        <w:rPr>
          <w:rFonts w:ascii="黑体" w:eastAsia="黑体" w:hint="eastAsia"/>
        </w:rPr>
        <w:t>第二十四条</w:t>
        <w:tab/>
      </w:r>
      <w:r>
        <w:rPr>
          <w:w w:val="95"/>
        </w:rPr>
        <w:t>行政执法机关依法实施行政强制执行的，应</w:t>
      </w:r>
    </w:p>
    <w:p>
      <w:pPr>
        <w:pStyle w:val="BodyText"/>
        <w:spacing w:before="3"/>
        <w:ind w:right="1058"/>
        <w:jc w:val="right"/>
      </w:pPr>
      <w:r>
        <w:rPr>
          <w:w w:val="95"/>
        </w:rPr>
        <w:t>当对催告情况、告知情况予以文字记录。当事人进行陈述、申</w:t>
      </w:r>
    </w:p>
    <w:p>
      <w:pPr>
        <w:spacing w:after="0"/>
        <w:jc w:val="right"/>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1058"/>
      </w:pPr>
      <w:r>
        <w:rPr/>
        <w:t>辩的，应当文字记录当事人陈述、申辩的内容以及行政执法机关对陈述、申辩内容的复核情况、处理意见等内容。</w:t>
      </w:r>
    </w:p>
    <w:p>
      <w:pPr>
        <w:pStyle w:val="BodyText"/>
        <w:spacing w:line="300" w:lineRule="auto" w:before="0"/>
        <w:ind w:left="729" w:right="1053" w:firstLine="645"/>
      </w:pPr>
      <w:r>
        <w:rPr/>
        <w:t>行政执法机关应当对强制拆除过程进行音像记录，必要时可以对其他行政强制执行过程进行音像记录。</w:t>
      </w:r>
    </w:p>
    <w:p>
      <w:pPr>
        <w:pStyle w:val="BodyText"/>
        <w:tabs>
          <w:tab w:pos="3295" w:val="left" w:leader="none"/>
        </w:tabs>
        <w:spacing w:line="300" w:lineRule="auto"/>
        <w:ind w:left="729" w:right="1053" w:firstLine="645"/>
      </w:pPr>
      <w:r>
        <w:rPr>
          <w:rFonts w:ascii="黑体" w:eastAsia="黑体" w:hint="eastAsia"/>
        </w:rPr>
        <w:t>第二十五条</w:t>
        <w:tab/>
      </w:r>
      <w:r>
        <w:rPr/>
        <w:t>行政执法机关申请法院强制执行的，应当</w:t>
      </w:r>
      <w:r>
        <w:rPr>
          <w:spacing w:val="-17"/>
        </w:rPr>
        <w:t>对</w:t>
      </w:r>
      <w:r>
        <w:rPr/>
        <w:t>申请情况、强制执行结果等内容进行文字记录。</w:t>
      </w:r>
    </w:p>
    <w:p>
      <w:pPr>
        <w:pStyle w:val="BodyText"/>
        <w:rPr>
          <w:sz w:val="40"/>
        </w:rPr>
      </w:pPr>
    </w:p>
    <w:p>
      <w:pPr>
        <w:pStyle w:val="BodyText"/>
        <w:tabs>
          <w:tab w:pos="1282" w:val="left" w:leader="none"/>
        </w:tabs>
        <w:spacing w:before="0"/>
        <w:ind w:right="234"/>
        <w:jc w:val="center"/>
        <w:rPr>
          <w:rFonts w:ascii="黑体" w:eastAsia="黑体" w:hint="eastAsia"/>
        </w:rPr>
      </w:pPr>
      <w:r>
        <w:rPr>
          <w:rFonts w:ascii="黑体" w:eastAsia="黑体" w:hint="eastAsia"/>
        </w:rPr>
        <w:t>第六章</w:t>
        <w:tab/>
        <w:t>执法记录的管理与使用</w:t>
      </w:r>
    </w:p>
    <w:p>
      <w:pPr>
        <w:pStyle w:val="BodyText"/>
        <w:spacing w:before="0"/>
        <w:rPr>
          <w:rFonts w:ascii="黑体"/>
        </w:rPr>
      </w:pPr>
    </w:p>
    <w:p>
      <w:pPr>
        <w:pStyle w:val="BodyText"/>
        <w:spacing w:before="6"/>
        <w:rPr>
          <w:rFonts w:ascii="黑体"/>
          <w:sz w:val="23"/>
        </w:rPr>
      </w:pPr>
    </w:p>
    <w:p>
      <w:pPr>
        <w:pStyle w:val="BodyText"/>
        <w:spacing w:line="300" w:lineRule="auto" w:before="1"/>
        <w:ind w:left="729" w:right="988" w:firstLine="631"/>
        <w:jc w:val="both"/>
      </w:pPr>
      <w:r>
        <w:rPr>
          <w:rFonts w:ascii="黑体" w:eastAsia="黑体" w:hint="eastAsia"/>
        </w:rPr>
        <w:t>第二十六条 </w:t>
      </w:r>
      <w:r>
        <w:rPr/>
        <w:t>行政执法机关应当建立行政执法案卷管理制度，加强对执法台账和法律文书的制作、使用、管理，按照有关法律法规和档案管理规定归档保存执法全过程记录资料，确保所有行政执法行为有据可查。</w:t>
      </w:r>
    </w:p>
    <w:p>
      <w:pPr>
        <w:pStyle w:val="BodyText"/>
        <w:spacing w:line="300" w:lineRule="auto"/>
        <w:ind w:left="729" w:right="1058" w:firstLine="631"/>
        <w:jc w:val="both"/>
      </w:pPr>
      <w:r>
        <w:rPr>
          <w:rFonts w:ascii="黑体" w:eastAsia="黑体" w:hint="eastAsia"/>
        </w:rPr>
        <w:t>第二十七条 </w:t>
      </w:r>
      <w:r>
        <w:rPr/>
        <w:t>音像记录资料应当附记录制作方法、制作时间、制作人和证明对象等内容；属于声音资料的，应当附该声音内容的文字记录。</w:t>
      </w:r>
    </w:p>
    <w:p>
      <w:pPr>
        <w:pStyle w:val="BodyText"/>
        <w:spacing w:line="300" w:lineRule="auto" w:before="1"/>
        <w:ind w:left="729" w:right="1058" w:firstLine="631"/>
        <w:jc w:val="both"/>
      </w:pPr>
      <w:r>
        <w:rPr>
          <w:rFonts w:ascii="黑体" w:eastAsia="黑体" w:hint="eastAsia"/>
          <w:spacing w:val="25"/>
        </w:rPr>
        <w:t>第二十八条 </w:t>
      </w:r>
      <w:r>
        <w:rPr>
          <w:spacing w:val="-6"/>
        </w:rPr>
        <w:t>音像记录制作完成后，应当在 </w:t>
      </w:r>
      <w:r>
        <w:rPr/>
        <w:t>2</w:t>
      </w:r>
      <w:r>
        <w:rPr>
          <w:spacing w:val="-15"/>
        </w:rPr>
        <w:t> 个工作日内将音像记录资料存储至执法信息系统或者本单位专用存储器， </w:t>
      </w:r>
      <w:r>
        <w:rPr/>
        <w:t>不得自行保管。</w:t>
      </w:r>
    </w:p>
    <w:p>
      <w:pPr>
        <w:pStyle w:val="BodyText"/>
        <w:tabs>
          <w:tab w:pos="3319" w:val="left" w:leader="none"/>
        </w:tabs>
        <w:spacing w:line="300" w:lineRule="auto"/>
        <w:ind w:left="729" w:right="966" w:firstLine="645"/>
        <w:jc w:val="right"/>
      </w:pPr>
      <w:r>
        <w:rPr>
          <w:rFonts w:ascii="黑体" w:eastAsia="黑体" w:hint="eastAsia"/>
          <w:spacing w:val="4"/>
        </w:rPr>
        <w:t>第二十九</w:t>
      </w:r>
      <w:r>
        <w:rPr>
          <w:rFonts w:ascii="黑体" w:eastAsia="黑体" w:hint="eastAsia"/>
        </w:rPr>
        <w:t>条</w:t>
        <w:tab/>
      </w:r>
      <w:r>
        <w:rPr>
          <w:w w:val="95"/>
        </w:rPr>
        <w:t>行</w:t>
      </w:r>
      <w:r>
        <w:rPr>
          <w:spacing w:val="4"/>
          <w:w w:val="95"/>
        </w:rPr>
        <w:t>政执法机关应</w:t>
      </w:r>
      <w:r>
        <w:rPr>
          <w:w w:val="95"/>
        </w:rPr>
        <w:t>当</w:t>
      </w:r>
      <w:r>
        <w:rPr>
          <w:spacing w:val="4"/>
          <w:w w:val="95"/>
        </w:rPr>
        <w:t>在行政执法行</w:t>
      </w:r>
      <w:r>
        <w:rPr>
          <w:w w:val="95"/>
        </w:rPr>
        <w:t>为</w:t>
      </w:r>
      <w:r>
        <w:rPr>
          <w:spacing w:val="4"/>
          <w:w w:val="95"/>
        </w:rPr>
        <w:t>执行终</w:t>
      </w:r>
      <w:r>
        <w:rPr>
          <w:w w:val="95"/>
        </w:rPr>
        <w:t>结</w:t>
      </w:r>
      <w:r>
        <w:rPr/>
        <w:t>之日起</w:t>
      </w:r>
      <w:r>
        <w:rPr>
          <w:spacing w:val="-83"/>
        </w:rPr>
        <w:t> </w:t>
      </w:r>
      <w:r>
        <w:rPr/>
        <w:t>30</w:t>
      </w:r>
      <w:r>
        <w:rPr>
          <w:spacing w:val="-84"/>
        </w:rPr>
        <w:t> </w:t>
      </w:r>
      <w:r>
        <w:rPr/>
        <w:t>日内</w:t>
      </w:r>
      <w:r>
        <w:rPr>
          <w:spacing w:val="-22"/>
        </w:rPr>
        <w:t>，</w:t>
      </w:r>
      <w:r>
        <w:rPr/>
        <w:t>将行政执法记录形成行政执法案卷</w:t>
      </w:r>
      <w:r>
        <w:rPr>
          <w:spacing w:val="-22"/>
        </w:rPr>
        <w:t>，</w:t>
      </w:r>
      <w:r>
        <w:rPr/>
        <w:t>依法归</w:t>
      </w:r>
      <w:r>
        <w:rPr>
          <w:spacing w:val="-12"/>
        </w:rPr>
        <w:t>档</w:t>
      </w:r>
      <w:r>
        <w:rPr>
          <w:w w:val="95"/>
        </w:rPr>
        <w:t>保存</w:t>
      </w:r>
      <w:r>
        <w:rPr>
          <w:spacing w:val="-77"/>
          <w:w w:val="95"/>
        </w:rPr>
        <w:t>。</w:t>
      </w:r>
      <w:r>
        <w:rPr>
          <w:w w:val="95"/>
        </w:rPr>
        <w:t>法律</w:t>
      </w:r>
      <w:r>
        <w:rPr>
          <w:spacing w:val="-75"/>
          <w:w w:val="95"/>
        </w:rPr>
        <w:t>、</w:t>
      </w:r>
      <w:r>
        <w:rPr>
          <w:w w:val="95"/>
        </w:rPr>
        <w:t>法规和规章对归档期限有特殊规定的</w:t>
      </w:r>
      <w:r>
        <w:rPr>
          <w:spacing w:val="-75"/>
          <w:w w:val="95"/>
        </w:rPr>
        <w:t>，</w:t>
      </w:r>
      <w:r>
        <w:rPr>
          <w:w w:val="95"/>
        </w:rPr>
        <w:t>从其规定</w:t>
      </w:r>
      <w:r>
        <w:rPr>
          <w:spacing w:val="-14"/>
          <w:w w:val="95"/>
        </w:rPr>
        <w:t>。 </w:t>
      </w:r>
      <w:r>
        <w:rPr>
          <w:w w:val="95"/>
        </w:rPr>
        <w:t>行政执法机关应当明确专人负责行政执法记录的归档、保</w:t>
      </w:r>
    </w:p>
    <w:p>
      <w:pPr>
        <w:spacing w:after="0" w:line="300" w:lineRule="auto"/>
        <w:jc w:val="right"/>
        <w:sectPr>
          <w:pgSz w:w="11910" w:h="16840"/>
          <w:pgMar w:header="0" w:footer="1554" w:top="1580" w:bottom="1740" w:left="860" w:right="620"/>
        </w:sectPr>
      </w:pPr>
    </w:p>
    <w:p>
      <w:pPr>
        <w:pStyle w:val="BodyText"/>
        <w:spacing w:before="10"/>
        <w:rPr>
          <w:sz w:val="21"/>
        </w:rPr>
      </w:pPr>
    </w:p>
    <w:p>
      <w:pPr>
        <w:pStyle w:val="BodyText"/>
        <w:spacing w:before="41"/>
        <w:ind w:left="729"/>
      </w:pPr>
      <w:r>
        <w:rPr/>
        <w:t>存和管理。</w:t>
      </w:r>
    </w:p>
    <w:p>
      <w:pPr>
        <w:pStyle w:val="BodyText"/>
        <w:tabs>
          <w:tab w:pos="3134" w:val="left" w:leader="none"/>
        </w:tabs>
        <w:spacing w:line="300" w:lineRule="auto" w:before="112"/>
        <w:ind w:left="729" w:right="966" w:firstLine="803"/>
      </w:pPr>
      <w:r>
        <w:rPr>
          <w:rFonts w:ascii="黑体" w:eastAsia="黑体" w:hint="eastAsia"/>
        </w:rPr>
        <w:t>第三十条</w:t>
        <w:tab/>
      </w:r>
      <w:r>
        <w:rPr/>
        <w:t>当事人依法申请查阅行政执法记录的</w:t>
      </w:r>
      <w:r>
        <w:rPr>
          <w:spacing w:val="-73"/>
        </w:rPr>
        <w:t>，</w:t>
      </w:r>
      <w:r>
        <w:rPr/>
        <w:t>经行</w:t>
      </w:r>
      <w:r>
        <w:rPr>
          <w:spacing w:val="-15"/>
        </w:rPr>
        <w:t>政</w:t>
      </w:r>
      <w:r>
        <w:rPr/>
        <w:t>执法机关负责人同意后方可查阅。</w:t>
      </w:r>
    </w:p>
    <w:p>
      <w:pPr>
        <w:pStyle w:val="BodyText"/>
        <w:spacing w:line="300" w:lineRule="auto"/>
        <w:ind w:left="729" w:right="1053" w:firstLine="645"/>
      </w:pPr>
      <w:r>
        <w:rPr/>
        <w:t>涉及国家秘密、商业秘密和个人隐私以及依法应当保密的执法信息，应当依法进行管理。</w:t>
      </w:r>
    </w:p>
    <w:p>
      <w:pPr>
        <w:pStyle w:val="BodyText"/>
        <w:rPr>
          <w:sz w:val="40"/>
        </w:rPr>
      </w:pPr>
    </w:p>
    <w:p>
      <w:pPr>
        <w:pStyle w:val="BodyText"/>
        <w:tabs>
          <w:tab w:pos="1281" w:val="left" w:leader="none"/>
          <w:tab w:pos="1920" w:val="left" w:leader="none"/>
        </w:tabs>
        <w:spacing w:before="0"/>
        <w:ind w:right="235"/>
        <w:jc w:val="center"/>
        <w:rPr>
          <w:rFonts w:ascii="黑体" w:eastAsia="黑体" w:hint="eastAsia"/>
        </w:rPr>
      </w:pPr>
      <w:r>
        <w:rPr>
          <w:rFonts w:ascii="黑体" w:eastAsia="黑体" w:hint="eastAsia"/>
        </w:rPr>
        <w:t>第七章</w:t>
        <w:tab/>
        <w:t>附</w:t>
        <w:tab/>
        <w:t>则</w:t>
      </w:r>
    </w:p>
    <w:p>
      <w:pPr>
        <w:pStyle w:val="BodyText"/>
        <w:spacing w:before="0"/>
        <w:rPr>
          <w:rFonts w:ascii="黑体"/>
        </w:rPr>
      </w:pPr>
    </w:p>
    <w:p>
      <w:pPr>
        <w:pStyle w:val="BodyText"/>
        <w:spacing w:before="4"/>
        <w:rPr>
          <w:rFonts w:ascii="黑体"/>
          <w:sz w:val="23"/>
        </w:rPr>
      </w:pPr>
    </w:p>
    <w:p>
      <w:pPr>
        <w:pStyle w:val="BodyText"/>
        <w:tabs>
          <w:tab w:pos="3290" w:val="left" w:leader="none"/>
        </w:tabs>
        <w:spacing w:before="0"/>
        <w:ind w:left="1370"/>
      </w:pPr>
      <w:r>
        <w:rPr>
          <w:rFonts w:ascii="黑体" w:eastAsia="黑体" w:hint="eastAsia"/>
        </w:rPr>
        <w:t>第三十一条</w:t>
        <w:tab/>
      </w:r>
      <w:r>
        <w:rPr/>
        <w:t>本办法自公布之日起施行。</w:t>
      </w:r>
    </w:p>
    <w:p>
      <w:pPr>
        <w:spacing w:after="0"/>
        <w:sectPr>
          <w:pgSz w:w="11910" w:h="16840"/>
          <w:pgMar w:header="0" w:footer="1554" w:top="1580" w:bottom="1740" w:left="860" w:right="620"/>
        </w:sectPr>
      </w:pPr>
    </w:p>
    <w:p>
      <w:pPr>
        <w:pStyle w:val="BodyText"/>
        <w:spacing w:before="11"/>
        <w:rPr>
          <w:sz w:val="20"/>
        </w:rPr>
      </w:pPr>
    </w:p>
    <w:p>
      <w:pPr>
        <w:pStyle w:val="BodyText"/>
        <w:spacing w:before="54"/>
        <w:ind w:left="729"/>
        <w:rPr>
          <w:rFonts w:ascii="黑体" w:eastAsia="黑体" w:hint="eastAsia"/>
        </w:rPr>
      </w:pPr>
      <w:r>
        <w:rPr>
          <w:rFonts w:ascii="黑体" w:eastAsia="黑体" w:hint="eastAsia"/>
        </w:rPr>
        <w:t>附件 3</w:t>
      </w:r>
    </w:p>
    <w:p>
      <w:pPr>
        <w:pStyle w:val="BodyText"/>
        <w:spacing w:before="0"/>
        <w:rPr>
          <w:rFonts w:ascii="黑体"/>
          <w:sz w:val="20"/>
        </w:rPr>
      </w:pPr>
    </w:p>
    <w:p>
      <w:pPr>
        <w:pStyle w:val="BodyText"/>
        <w:spacing w:before="3"/>
        <w:rPr>
          <w:rFonts w:ascii="黑体"/>
          <w:sz w:val="24"/>
        </w:rPr>
      </w:pPr>
    </w:p>
    <w:p>
      <w:pPr>
        <w:pStyle w:val="Heading2"/>
      </w:pPr>
      <w:r>
        <w:rPr/>
        <w:t>郯城县重大执法决定法制审核办法</w:t>
      </w:r>
    </w:p>
    <w:p>
      <w:pPr>
        <w:pStyle w:val="BodyText"/>
        <w:spacing w:before="3"/>
        <w:rPr>
          <w:rFonts w:ascii="方正小标宋简体"/>
        </w:rPr>
      </w:pPr>
    </w:p>
    <w:p>
      <w:pPr>
        <w:pStyle w:val="BodyText"/>
        <w:spacing w:line="300" w:lineRule="auto" w:before="0"/>
        <w:ind w:left="729" w:right="967" w:firstLine="640"/>
        <w:jc w:val="both"/>
      </w:pPr>
      <w:r>
        <w:rPr>
          <w:rFonts w:ascii="黑体" w:eastAsia="黑体" w:hint="eastAsia"/>
          <w:spacing w:val="40"/>
        </w:rPr>
        <w:t>第一条 </w:t>
      </w:r>
      <w:r>
        <w:rPr/>
        <w:t>为了加强行政执法监督，规范行政执法行为，保</w:t>
      </w:r>
      <w:r>
        <w:rPr>
          <w:w w:val="95"/>
        </w:rPr>
        <w:t>护公民、法人和其他组织的合法权益，根据《中华人民共和国 </w:t>
      </w:r>
      <w:r>
        <w:rPr>
          <w:spacing w:val="-17"/>
        </w:rPr>
        <w:t>行政处罚法》《山东省行政执法监督条例》等法律、法规和规章</w:t>
      </w:r>
      <w:r>
        <w:rPr/>
        <w:t>的规定，结合本县实际，制定本办法。</w:t>
      </w:r>
    </w:p>
    <w:p>
      <w:pPr>
        <w:pStyle w:val="BodyText"/>
        <w:spacing w:line="300" w:lineRule="auto"/>
        <w:ind w:left="729" w:right="969" w:firstLine="640"/>
        <w:jc w:val="both"/>
      </w:pPr>
      <w:r>
        <w:rPr>
          <w:rFonts w:ascii="黑体" w:eastAsia="黑体" w:hint="eastAsia"/>
          <w:spacing w:val="40"/>
        </w:rPr>
        <w:t>第二条 </w:t>
      </w:r>
      <w:r>
        <w:rPr>
          <w:spacing w:val="2"/>
        </w:rPr>
        <w:t>行政执法机关</w:t>
      </w:r>
      <w:r>
        <w:rPr>
          <w:spacing w:val="4"/>
        </w:rPr>
        <w:t>（</w:t>
      </w:r>
      <w:r>
        <w:rPr>
          <w:spacing w:val="1"/>
        </w:rPr>
        <w:t>包括法律法规授权组织</w:t>
      </w:r>
      <w:r>
        <w:rPr>
          <w:spacing w:val="4"/>
        </w:rPr>
        <w:t>）</w:t>
      </w:r>
      <w:r>
        <w:rPr>
          <w:spacing w:val="2"/>
        </w:rPr>
        <w:t>作出重</w:t>
      </w:r>
      <w:r>
        <w:rPr>
          <w:w w:val="95"/>
        </w:rPr>
        <w:t>大执法决定前，应当进行法制审核，未经法制审核或者审核未 </w:t>
      </w:r>
      <w:r>
        <w:rPr/>
        <w:t>通过的，不得作出决定。</w:t>
      </w:r>
    </w:p>
    <w:p>
      <w:pPr>
        <w:pStyle w:val="BodyText"/>
        <w:spacing w:line="300" w:lineRule="auto"/>
        <w:ind w:left="729" w:right="969" w:firstLine="640"/>
        <w:jc w:val="both"/>
      </w:pPr>
      <w:r>
        <w:rPr>
          <w:rFonts w:ascii="黑体" w:eastAsia="黑体" w:hint="eastAsia"/>
          <w:spacing w:val="40"/>
        </w:rPr>
        <w:t>第三条 </w:t>
      </w:r>
      <w:r>
        <w:rPr/>
        <w:t>行政执法机关负责重大执法决定法制审核制度的</w:t>
      </w:r>
      <w:r>
        <w:rPr>
          <w:w w:val="95"/>
        </w:rPr>
        <w:t>实施，应当明确其法制机构或者除行政执法承办机构之外的其 </w:t>
      </w:r>
      <w:r>
        <w:rPr/>
        <w:t>他机构为法制审核机构。</w:t>
      </w:r>
    </w:p>
    <w:p>
      <w:pPr>
        <w:pStyle w:val="BodyText"/>
        <w:spacing w:line="300" w:lineRule="auto"/>
        <w:ind w:left="729" w:right="967" w:firstLine="640"/>
        <w:jc w:val="both"/>
      </w:pPr>
      <w:r>
        <w:rPr>
          <w:rFonts w:ascii="黑体" w:eastAsia="黑体" w:hint="eastAsia"/>
          <w:spacing w:val="-2"/>
        </w:rPr>
        <w:t>第四条 </w:t>
      </w:r>
      <w:r>
        <w:rPr>
          <w:spacing w:val="-6"/>
        </w:rPr>
        <w:t>行政执法机关作出行政强制、行政征收征用、行政</w:t>
      </w:r>
      <w:r>
        <w:rPr>
          <w:w w:val="95"/>
        </w:rPr>
        <w:t>许可等行政执法决定前，有下列情形之一的，应当进行法制审 </w:t>
      </w:r>
      <w:r>
        <w:rPr/>
        <w:t>核：</w:t>
      </w:r>
    </w:p>
    <w:p>
      <w:pPr>
        <w:pStyle w:val="BodyText"/>
        <w:ind w:left="1370"/>
      </w:pPr>
      <w:r>
        <w:rPr/>
        <w:t>（一）涉及重大公共利益的；</w:t>
      </w:r>
    </w:p>
    <w:p>
      <w:pPr>
        <w:pStyle w:val="BodyText"/>
        <w:spacing w:before="114"/>
        <w:ind w:left="1370"/>
      </w:pPr>
      <w:r>
        <w:rPr>
          <w:w w:val="95"/>
        </w:rPr>
        <w:t>（二）可能造成重大社会影响或引发社会风险的；</w:t>
      </w:r>
    </w:p>
    <w:p>
      <w:pPr>
        <w:pStyle w:val="BodyText"/>
        <w:spacing w:before="112"/>
        <w:ind w:left="1370"/>
      </w:pPr>
      <w:r>
        <w:rPr>
          <w:w w:val="95"/>
        </w:rPr>
        <w:t>（三）直接关系行政相对人或第三人重大权益的；</w:t>
      </w:r>
    </w:p>
    <w:p>
      <w:pPr>
        <w:pStyle w:val="BodyText"/>
        <w:spacing w:before="112"/>
        <w:ind w:left="1370"/>
      </w:pPr>
      <w:r>
        <w:rPr/>
        <w:t>（四）经过听证程序作出行政执法决定的；</w:t>
      </w:r>
    </w:p>
    <w:p>
      <w:pPr>
        <w:pStyle w:val="BodyText"/>
        <w:spacing w:before="115"/>
        <w:ind w:left="1370"/>
      </w:pPr>
      <w:r>
        <w:rPr/>
        <w:t>（五）案件情况疑难复杂、涉及多个法律关系的；</w:t>
      </w:r>
    </w:p>
    <w:p>
      <w:pPr>
        <w:pStyle w:val="BodyText"/>
        <w:spacing w:before="111"/>
        <w:ind w:left="1370"/>
      </w:pPr>
      <w:r>
        <w:rPr/>
        <w:t>（六）其他需要进行法制审核的情形。</w:t>
      </w:r>
    </w:p>
    <w:p>
      <w:pPr>
        <w:spacing w:after="0"/>
        <w:sectPr>
          <w:pgSz w:w="11910" w:h="16840"/>
          <w:pgMar w:header="0" w:footer="1554" w:top="1580" w:bottom="1740" w:left="860" w:right="620"/>
        </w:sectPr>
      </w:pPr>
    </w:p>
    <w:p>
      <w:pPr>
        <w:pStyle w:val="BodyText"/>
        <w:spacing w:before="10"/>
        <w:rPr>
          <w:sz w:val="21"/>
        </w:rPr>
      </w:pPr>
    </w:p>
    <w:p>
      <w:pPr>
        <w:pStyle w:val="BodyText"/>
        <w:spacing w:line="300" w:lineRule="auto" w:before="41"/>
        <w:ind w:left="729" w:right="973" w:firstLine="640"/>
      </w:pPr>
      <w:r>
        <w:rPr>
          <w:w w:val="95"/>
        </w:rPr>
        <w:t>除可以当场作出的行政处罚外，行政处罚决定作出前都应 </w:t>
      </w:r>
      <w:r>
        <w:rPr/>
        <w:t>当进行法制审核。</w:t>
      </w:r>
    </w:p>
    <w:p>
      <w:pPr>
        <w:pStyle w:val="BodyText"/>
        <w:tabs>
          <w:tab w:pos="2651" w:val="left" w:leader="none"/>
        </w:tabs>
        <w:spacing w:line="300" w:lineRule="auto" w:before="0"/>
        <w:ind w:left="729" w:right="806" w:firstLine="640"/>
      </w:pPr>
      <w:r>
        <w:rPr>
          <w:rFonts w:ascii="黑体" w:eastAsia="黑体" w:hint="eastAsia"/>
        </w:rPr>
        <w:t>第五条</w:t>
        <w:tab/>
      </w:r>
      <w:r>
        <w:rPr/>
        <w:t>行政执法机关应当根据法律</w:t>
      </w:r>
      <w:r>
        <w:rPr>
          <w:spacing w:val="-70"/>
        </w:rPr>
        <w:t>、</w:t>
      </w:r>
      <w:r>
        <w:rPr/>
        <w:t>法规和规章的规定</w:t>
      </w:r>
      <w:r>
        <w:rPr>
          <w:spacing w:val="-15"/>
        </w:rPr>
        <w:t>， </w:t>
      </w:r>
      <w:r>
        <w:rPr>
          <w:spacing w:val="4"/>
        </w:rPr>
        <w:t>制定重大执法</w:t>
      </w:r>
      <w:r>
        <w:rPr/>
        <w:t>决</w:t>
      </w:r>
      <w:r>
        <w:rPr>
          <w:spacing w:val="4"/>
        </w:rPr>
        <w:t>定法制审核办</w:t>
      </w:r>
      <w:r>
        <w:rPr/>
        <w:t>法</w:t>
      </w:r>
      <w:r>
        <w:rPr>
          <w:spacing w:val="4"/>
        </w:rPr>
        <w:t>，明确重大执</w:t>
      </w:r>
      <w:r>
        <w:rPr>
          <w:spacing w:val="9"/>
        </w:rPr>
        <w:t>法</w:t>
      </w:r>
      <w:r>
        <w:rPr>
          <w:spacing w:val="4"/>
        </w:rPr>
        <w:t>决定的范</w:t>
      </w:r>
      <w:r>
        <w:rPr/>
        <w:t>围、法制审核的具体程序、方式和时限等内容。</w:t>
      </w:r>
    </w:p>
    <w:p>
      <w:pPr>
        <w:pStyle w:val="BodyText"/>
        <w:spacing w:line="300" w:lineRule="auto"/>
        <w:ind w:left="729" w:right="969" w:firstLine="640"/>
        <w:jc w:val="both"/>
      </w:pPr>
      <w:r>
        <w:rPr/>
        <w:t>行政执法机关应当结合本机关行政执法行为的类别、执法</w:t>
      </w:r>
      <w:r>
        <w:rPr>
          <w:w w:val="95"/>
        </w:rPr>
        <w:t>层级、所属领域、涉案金额等因素，制定重大执法决定法制审 </w:t>
      </w:r>
      <w:r>
        <w:rPr/>
        <w:t>核目录清单，向社会公布。</w:t>
      </w:r>
    </w:p>
    <w:p>
      <w:pPr>
        <w:pStyle w:val="BodyText"/>
        <w:spacing w:line="300" w:lineRule="auto"/>
        <w:ind w:left="729" w:right="969" w:firstLine="640"/>
        <w:jc w:val="both"/>
      </w:pPr>
      <w:r>
        <w:rPr>
          <w:rFonts w:ascii="黑体" w:eastAsia="黑体" w:hint="eastAsia"/>
        </w:rPr>
        <w:t>第六条 </w:t>
      </w:r>
      <w:r>
        <w:rPr/>
        <w:t>行政执法机关作出重大执法决定前，行政执法承</w:t>
      </w:r>
      <w:r>
        <w:rPr>
          <w:w w:val="95"/>
        </w:rPr>
        <w:t>办机构应当将拟作出的行政执法决定及相关证据、依据等材料 </w:t>
      </w:r>
      <w:r>
        <w:rPr/>
        <w:t>提交本机关法制审核机构审核。</w:t>
      </w:r>
    </w:p>
    <w:p>
      <w:pPr>
        <w:pStyle w:val="BodyText"/>
        <w:spacing w:line="300" w:lineRule="auto"/>
        <w:ind w:left="729" w:right="972" w:firstLine="640"/>
        <w:jc w:val="both"/>
      </w:pPr>
      <w:r>
        <w:rPr>
          <w:rFonts w:ascii="黑体" w:eastAsia="黑体" w:hint="eastAsia"/>
        </w:rPr>
        <w:t>第七条 </w:t>
      </w:r>
      <w:r>
        <w:rPr/>
        <w:t>行政执法机关法制审核机构应当对下列内容进行审核：</w:t>
      </w:r>
    </w:p>
    <w:p>
      <w:pPr>
        <w:pStyle w:val="BodyText"/>
        <w:spacing w:before="3"/>
        <w:ind w:left="1370"/>
      </w:pPr>
      <w:r>
        <w:rPr/>
        <w:t>（一）行政执法主体是否合法；</w:t>
      </w:r>
    </w:p>
    <w:p>
      <w:pPr>
        <w:pStyle w:val="BodyText"/>
        <w:spacing w:before="111"/>
        <w:ind w:left="1370"/>
      </w:pPr>
      <w:r>
        <w:rPr/>
        <w:t>（二）行政执法人员是否具备执法资格；</w:t>
      </w:r>
    </w:p>
    <w:p>
      <w:pPr>
        <w:pStyle w:val="BodyText"/>
        <w:spacing w:before="114"/>
        <w:ind w:left="1370"/>
      </w:pPr>
      <w:r>
        <w:rPr/>
        <w:t>（三）行政执法程序是否合法；</w:t>
      </w:r>
    </w:p>
    <w:p>
      <w:pPr>
        <w:pStyle w:val="BodyText"/>
        <w:spacing w:before="112"/>
        <w:ind w:left="1370"/>
      </w:pPr>
      <w:r>
        <w:rPr/>
        <w:t>（四）案件事实是否清楚、证据是否合法充分；</w:t>
      </w:r>
    </w:p>
    <w:p>
      <w:pPr>
        <w:pStyle w:val="BodyText"/>
        <w:spacing w:line="300" w:lineRule="auto" w:before="112"/>
        <w:ind w:left="729" w:right="973" w:firstLine="640"/>
      </w:pPr>
      <w:r>
        <w:rPr>
          <w:w w:val="95"/>
        </w:rPr>
        <w:t>（五）适用法律、法规、规章是否准确，裁量基准运用是 </w:t>
      </w:r>
      <w:r>
        <w:rPr/>
        <w:t>否适当；</w:t>
      </w:r>
    </w:p>
    <w:p>
      <w:pPr>
        <w:pStyle w:val="BodyText"/>
        <w:ind w:left="1370"/>
      </w:pPr>
      <w:r>
        <w:rPr/>
        <w:t>（六）行政执法行为是否超越行政执法机关法定权限；</w:t>
      </w:r>
    </w:p>
    <w:p>
      <w:pPr>
        <w:pStyle w:val="BodyText"/>
        <w:spacing w:before="112"/>
        <w:ind w:left="1370"/>
      </w:pPr>
      <w:r>
        <w:rPr/>
        <w:t>（七）行政执法文书是否完备、规范；</w:t>
      </w:r>
    </w:p>
    <w:p>
      <w:pPr>
        <w:pStyle w:val="BodyText"/>
        <w:spacing w:before="114"/>
        <w:ind w:left="1370"/>
      </w:pPr>
      <w:r>
        <w:rPr/>
        <w:t>（八）违法行为是否涉嫌犯罪、需要移送司法机关等；</w:t>
      </w:r>
    </w:p>
    <w:p>
      <w:pPr>
        <w:pStyle w:val="BodyText"/>
        <w:spacing w:before="112"/>
        <w:ind w:left="1370"/>
      </w:pPr>
      <w:r>
        <w:rPr/>
        <w:t>（九）其他需要审核的内容。</w:t>
      </w:r>
    </w:p>
    <w:p>
      <w:pPr>
        <w:spacing w:after="0"/>
        <w:sectPr>
          <w:pgSz w:w="11910" w:h="16840"/>
          <w:pgMar w:header="0" w:footer="1554" w:top="1580" w:bottom="1740" w:left="860" w:right="620"/>
        </w:sectPr>
      </w:pPr>
    </w:p>
    <w:p>
      <w:pPr>
        <w:pStyle w:val="BodyText"/>
        <w:spacing w:before="11"/>
        <w:rPr>
          <w:sz w:val="20"/>
        </w:rPr>
      </w:pPr>
    </w:p>
    <w:p>
      <w:pPr>
        <w:pStyle w:val="BodyText"/>
        <w:spacing w:before="54"/>
        <w:ind w:left="1370"/>
        <w:jc w:val="both"/>
      </w:pPr>
      <w:r>
        <w:rPr>
          <w:rFonts w:ascii="黑体" w:eastAsia="黑体" w:hint="eastAsia"/>
        </w:rPr>
        <w:t>第八条 </w:t>
      </w:r>
      <w:r>
        <w:rPr/>
        <w:t>重大执法决定法制审核以文字审核为主。</w:t>
      </w:r>
    </w:p>
    <w:p>
      <w:pPr>
        <w:pStyle w:val="BodyText"/>
        <w:spacing w:line="300" w:lineRule="auto" w:before="112"/>
        <w:ind w:left="729" w:right="969" w:firstLine="640"/>
        <w:jc w:val="both"/>
      </w:pPr>
      <w:r>
        <w:rPr/>
        <w:t>法制审核机构应当及时对提交的案件材料进行审核，符合</w:t>
      </w:r>
      <w:r>
        <w:rPr>
          <w:w w:val="95"/>
        </w:rPr>
        <w:t>审核内容要求的，作出同意的文字审核意见，存入行政执法案 </w:t>
      </w:r>
      <w:r>
        <w:rPr/>
        <w:t>卷。</w:t>
      </w:r>
    </w:p>
    <w:p>
      <w:pPr>
        <w:pStyle w:val="BodyText"/>
        <w:spacing w:line="300" w:lineRule="auto"/>
        <w:ind w:left="729" w:right="972" w:firstLine="640"/>
        <w:jc w:val="both"/>
      </w:pPr>
      <w:r>
        <w:rPr>
          <w:rFonts w:ascii="黑体" w:eastAsia="黑体" w:hint="eastAsia"/>
        </w:rPr>
        <w:t>第九条 </w:t>
      </w:r>
      <w:r>
        <w:rPr/>
        <w:t>案件材料提交不完整的，法制审核机构可以要求行政执法承办机构作出说明或者补充材料。</w:t>
      </w:r>
    </w:p>
    <w:p>
      <w:pPr>
        <w:pStyle w:val="BodyText"/>
        <w:spacing w:line="300" w:lineRule="auto"/>
        <w:ind w:left="729" w:right="973" w:firstLine="640"/>
      </w:pPr>
      <w:r>
        <w:rPr>
          <w:w w:val="95"/>
        </w:rPr>
        <w:t>案情复杂、专业性较强的案件，法制审核机构可以组织召 </w:t>
      </w:r>
      <w:r>
        <w:rPr/>
        <w:t>开座谈会、专家论证会等进行研究论证。</w:t>
      </w:r>
    </w:p>
    <w:p>
      <w:pPr>
        <w:pStyle w:val="BodyText"/>
        <w:tabs>
          <w:tab w:pos="2665" w:val="left" w:leader="none"/>
        </w:tabs>
        <w:spacing w:line="300" w:lineRule="auto" w:before="0"/>
        <w:ind w:left="729" w:right="972" w:firstLine="640"/>
      </w:pPr>
      <w:r>
        <w:rPr>
          <w:rFonts w:ascii="黑体" w:eastAsia="黑体" w:hint="eastAsia"/>
          <w:spacing w:val="4"/>
        </w:rPr>
        <w:t>第十</w:t>
      </w:r>
      <w:r>
        <w:rPr>
          <w:rFonts w:ascii="黑体" w:eastAsia="黑体" w:hint="eastAsia"/>
        </w:rPr>
        <w:t>条</w:t>
        <w:tab/>
      </w:r>
      <w:r>
        <w:rPr>
          <w:spacing w:val="4"/>
          <w:w w:val="95"/>
        </w:rPr>
        <w:t>法制</w:t>
      </w:r>
      <w:r>
        <w:rPr>
          <w:w w:val="95"/>
        </w:rPr>
        <w:t>审</w:t>
      </w:r>
      <w:r>
        <w:rPr>
          <w:spacing w:val="4"/>
          <w:w w:val="95"/>
        </w:rPr>
        <w:t>核机构认为案</w:t>
      </w:r>
      <w:r>
        <w:rPr>
          <w:w w:val="95"/>
        </w:rPr>
        <w:t>件</w:t>
      </w:r>
      <w:r>
        <w:rPr>
          <w:spacing w:val="4"/>
          <w:w w:val="95"/>
        </w:rPr>
        <w:t>材料不符合审</w:t>
      </w:r>
      <w:r>
        <w:rPr>
          <w:w w:val="95"/>
        </w:rPr>
        <w:t>核</w:t>
      </w:r>
      <w:r>
        <w:rPr>
          <w:spacing w:val="4"/>
          <w:w w:val="95"/>
        </w:rPr>
        <w:t>内容要</w:t>
      </w:r>
      <w:r>
        <w:rPr>
          <w:w w:val="95"/>
        </w:rPr>
        <w:t>求 </w:t>
      </w:r>
      <w:r>
        <w:rPr/>
        <w:t>的，应当提出存在问题的文字审核意见。</w:t>
      </w:r>
    </w:p>
    <w:p>
      <w:pPr>
        <w:pStyle w:val="BodyText"/>
        <w:spacing w:line="300" w:lineRule="auto"/>
        <w:ind w:left="729" w:right="973" w:firstLine="640"/>
      </w:pPr>
      <w:r>
        <w:rPr>
          <w:w w:val="95"/>
        </w:rPr>
        <w:t>行政执法承办机构应当对有关问题作出相应处理后再次报 </w:t>
      </w:r>
      <w:r>
        <w:rPr/>
        <w:t>送法制审核。</w:t>
      </w:r>
    </w:p>
    <w:p>
      <w:pPr>
        <w:pStyle w:val="BodyText"/>
        <w:spacing w:line="300" w:lineRule="auto"/>
        <w:ind w:left="729" w:right="973" w:firstLine="640"/>
      </w:pPr>
      <w:r>
        <w:rPr>
          <w:w w:val="95"/>
        </w:rPr>
        <w:t>法制审核机构和行政执法承办机构对审核意见无法达成一 </w:t>
      </w:r>
      <w:r>
        <w:rPr/>
        <w:t>致的，由法制审核机构报行政执法机关负责人决定。</w:t>
      </w:r>
    </w:p>
    <w:p>
      <w:pPr>
        <w:pStyle w:val="BodyText"/>
        <w:tabs>
          <w:tab w:pos="2992" w:val="left" w:leader="none"/>
        </w:tabs>
        <w:spacing w:line="300" w:lineRule="auto" w:before="0"/>
        <w:ind w:left="729" w:right="969" w:firstLine="640"/>
      </w:pPr>
      <w:r>
        <w:rPr>
          <w:rFonts w:ascii="黑体" w:eastAsia="黑体" w:hint="eastAsia"/>
          <w:spacing w:val="4"/>
        </w:rPr>
        <w:t>第十一</w:t>
      </w:r>
      <w:r>
        <w:rPr>
          <w:rFonts w:ascii="黑体" w:eastAsia="黑体" w:hint="eastAsia"/>
        </w:rPr>
        <w:t>条</w:t>
        <w:tab/>
      </w:r>
      <w:r>
        <w:rPr>
          <w:spacing w:val="4"/>
        </w:rPr>
        <w:t>法</w:t>
      </w:r>
      <w:r>
        <w:rPr/>
        <w:t>律</w:t>
      </w:r>
      <w:r>
        <w:rPr>
          <w:spacing w:val="4"/>
        </w:rPr>
        <w:t>、法规、规章</w:t>
      </w:r>
      <w:r>
        <w:rPr/>
        <w:t>规</w:t>
      </w:r>
      <w:r>
        <w:rPr>
          <w:spacing w:val="4"/>
        </w:rPr>
        <w:t>定行政执法决</w:t>
      </w:r>
      <w:r>
        <w:rPr/>
        <w:t>定</w:t>
      </w:r>
      <w:r>
        <w:rPr>
          <w:spacing w:val="4"/>
        </w:rPr>
        <w:t>作出前</w:t>
      </w:r>
      <w:r>
        <w:rPr/>
        <w:t>需要经过集体讨论的，应当先进行法制审核。</w:t>
      </w:r>
    </w:p>
    <w:p>
      <w:pPr>
        <w:pStyle w:val="BodyText"/>
        <w:ind w:left="1370"/>
      </w:pPr>
      <w:r>
        <w:rPr/>
        <w:t>法制审核的时间计入行政执法办理期间。</w:t>
      </w:r>
    </w:p>
    <w:p>
      <w:pPr>
        <w:pStyle w:val="BodyText"/>
        <w:spacing w:line="300" w:lineRule="auto" w:before="112"/>
        <w:ind w:left="729" w:right="969" w:firstLine="640"/>
        <w:jc w:val="both"/>
      </w:pPr>
      <w:r>
        <w:rPr>
          <w:rFonts w:ascii="黑体" w:eastAsia="黑体" w:hint="eastAsia"/>
        </w:rPr>
        <w:t>第十二条 </w:t>
      </w:r>
      <w:r>
        <w:rPr/>
        <w:t>行政执法机关主要负责人是本机关落实重大执</w:t>
      </w:r>
      <w:r>
        <w:rPr>
          <w:w w:val="95"/>
        </w:rPr>
        <w:t>法决定法制审核制度的第一责任人，对本机关作出的行政执法 </w:t>
      </w:r>
      <w:r>
        <w:rPr/>
        <w:t>决定负责。</w:t>
      </w:r>
    </w:p>
    <w:p>
      <w:pPr>
        <w:pStyle w:val="BodyText"/>
        <w:spacing w:line="300" w:lineRule="auto"/>
        <w:ind w:left="729" w:right="967" w:firstLine="640"/>
      </w:pPr>
      <w:r>
        <w:rPr>
          <w:spacing w:val="-13"/>
        </w:rPr>
        <w:t>行政执法承办机构对送审材料的真实性、准确性、完整性， </w:t>
      </w:r>
      <w:r>
        <w:rPr/>
        <w:t>以及执法的事实、证据、法律适用、程序的合法性负责。</w:t>
      </w:r>
    </w:p>
    <w:p>
      <w:pPr>
        <w:pStyle w:val="BodyText"/>
        <w:spacing w:before="3"/>
        <w:ind w:left="1370"/>
      </w:pPr>
      <w:r>
        <w:rPr>
          <w:w w:val="95"/>
        </w:rPr>
        <w:t>法制审核机构对重大执法决定的法制审核意见负责。</w:t>
      </w:r>
    </w:p>
    <w:p>
      <w:pPr>
        <w:spacing w:after="0"/>
        <w:sectPr>
          <w:pgSz w:w="11910" w:h="16840"/>
          <w:pgMar w:header="0" w:footer="1554" w:top="1580" w:bottom="1740" w:left="860" w:right="620"/>
        </w:sectPr>
      </w:pPr>
    </w:p>
    <w:p>
      <w:pPr>
        <w:pStyle w:val="BodyText"/>
        <w:spacing w:before="11"/>
        <w:rPr>
          <w:sz w:val="20"/>
        </w:rPr>
      </w:pPr>
    </w:p>
    <w:p>
      <w:pPr>
        <w:pStyle w:val="BodyText"/>
        <w:spacing w:line="300" w:lineRule="auto" w:before="54"/>
        <w:ind w:left="729" w:right="969" w:firstLine="640"/>
        <w:jc w:val="both"/>
      </w:pPr>
      <w:r>
        <w:rPr>
          <w:rFonts w:ascii="黑体" w:eastAsia="黑体" w:hint="eastAsia"/>
        </w:rPr>
        <w:t>第十三条 </w:t>
      </w:r>
      <w:r>
        <w:rPr/>
        <w:t>行政执法机关及其工作人员违反重大执法决定</w:t>
      </w:r>
      <w:r>
        <w:rPr>
          <w:w w:val="95"/>
        </w:rPr>
        <w:t>法制审核规定的，由县政府或者有关部门责令改正；情节严重 的，对直接负责的主管人员和其他责任人员依法给予处分；构 </w:t>
      </w:r>
      <w:r>
        <w:rPr/>
        <w:t>成犯罪的，依法追究刑事责任。</w:t>
      </w:r>
    </w:p>
    <w:p>
      <w:pPr>
        <w:pStyle w:val="BodyText"/>
        <w:ind w:left="1370"/>
        <w:jc w:val="both"/>
      </w:pPr>
      <w:r>
        <w:rPr>
          <w:rFonts w:ascii="黑体" w:eastAsia="黑体" w:hint="eastAsia"/>
        </w:rPr>
        <w:t>第十四条 </w:t>
      </w:r>
      <w:r>
        <w:rPr/>
        <w:t>本办法自公布之日起施行。</w:t>
      </w:r>
    </w:p>
    <w:sectPr>
      <w:pgSz w:w="11910" w:h="16840"/>
      <w:pgMar w:header="0" w:footer="1554" w:top="1580" w:bottom="1740" w:left="86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方正小标宋简体">
    <w:altName w:val="方正小标宋简体"/>
    <w:charset w:val="86"/>
    <w:family w:val="script"/>
    <w:pitch w:val="fixed"/>
  </w:font>
  <w:font w:name="楷体_GB2312">
    <w:altName w:val="楷体_GB2312"/>
    <w:charset w:val="86"/>
    <w:family w:val="modern"/>
    <w:pitch w:val="fixed"/>
  </w:font>
  <w:font w:name="文星仿宋">
    <w:altName w:val="文星仿宋"/>
    <w:charset w:val="86"/>
    <w:family w:val="modern"/>
    <w:pitch w:val="fixed"/>
  </w:font>
  <w:font w:name="黑体">
    <w:altName w:val="黑体"/>
    <w:charset w:val="86"/>
    <w:family w:val="modern"/>
    <w:pitch w:val="fixed"/>
  </w:font>
  <w:font w:name="Calibri">
    <w:altName w:val="Calibri"/>
    <w:charset w:val="0"/>
    <w:family w:val="swiss"/>
    <w:pitch w:val="variable"/>
  </w:font>
  <w:font w:name="隶书">
    <w:altName w:val="隶书"/>
    <w:charset w:val="86"/>
    <w:family w:val="modern"/>
    <w:pitch w:val="fixed"/>
  </w:font>
  <w:font w:name="楷体">
    <w:altName w:val="楷体"/>
    <w:charset w:val="86"/>
    <w:family w:val="modern"/>
    <w:pitch w:val="fixed"/>
  </w:font>
  <w:font w:name="仿宋_GB2312">
    <w:altName w:val="仿宋_GB2312"/>
    <w:charset w:val="86"/>
    <w:family w:val="modern"/>
    <w:pitch w:val="fixed"/>
  </w:font>
  <w:font w:name="宋体">
    <w:altName w:val="宋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type id="_x0000_t202" o:spt="202" coordsize="21600,21600" path="m,l,21600r21600,l21600,xe">
          <v:stroke joinstyle="miter"/>
          <v:path gradientshapeok="t" o:connecttype="rect"/>
        </v:shapetype>
        <v:shape style="position:absolute;margin-left:288.570007pt;margin-top:763.190369pt;width:18.2pt;height:16.05pt;mso-position-horizontal-relative:page;mso-position-vertical-relative:page;z-index:-254101504" type="#_x0000_t202" filled="false" stroked="false">
          <v:textbox inset="0,0,0,0">
            <w:txbxContent>
              <w:p>
                <w:pPr>
                  <w:spacing w:line="321" w:lineRule="exact" w:before="0"/>
                  <w:ind w:left="40" w:right="0" w:firstLine="0"/>
                  <w:jc w:val="left"/>
                  <w:rPr>
                    <w:rFonts w:ascii="隶书"/>
                    <w:sz w:val="28"/>
                  </w:rPr>
                </w:pPr>
                <w:r>
                  <w:rPr/>
                  <w:fldChar w:fldCharType="begin"/>
                </w:r>
                <w:r>
                  <w:rPr>
                    <w:rFonts w:ascii="隶书"/>
                    <w:sz w:val="28"/>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411.929993pt;margin-top:516.590393pt;width:18.2pt;height:16.05pt;mso-position-horizontal-relative:page;mso-position-vertical-relative:page;z-index:-254100480" type="#_x0000_t202" filled="false" stroked="false">
          <v:textbox inset="0,0,0,0">
            <w:txbxContent>
              <w:p>
                <w:pPr>
                  <w:spacing w:line="321" w:lineRule="exact" w:before="0"/>
                  <w:ind w:left="40" w:right="0" w:firstLine="0"/>
                  <w:jc w:val="left"/>
                  <w:rPr>
                    <w:rFonts w:ascii="隶书"/>
                    <w:sz w:val="28"/>
                  </w:rPr>
                </w:pPr>
                <w:r>
                  <w:rPr/>
                  <w:fldChar w:fldCharType="begin"/>
                </w:r>
                <w:r>
                  <w:rPr>
                    <w:rFonts w:ascii="隶书"/>
                    <w:sz w:val="28"/>
                  </w:rPr>
                  <w:instrText> PAGE </w:instrText>
                </w:r>
                <w:r>
                  <w:rPr/>
                  <w:fldChar w:fldCharType="separate"/>
                </w:r>
                <w:r>
                  <w:rPr/>
                  <w:t>25</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88.690002pt;margin-top:746.270386pt;width:18.2pt;height:16.05pt;mso-position-horizontal-relative:page;mso-position-vertical-relative:page;z-index:-254099456" type="#_x0000_t202" filled="false" stroked="false">
          <v:textbox inset="0,0,0,0">
            <w:txbxContent>
              <w:p>
                <w:pPr>
                  <w:spacing w:line="321" w:lineRule="exact" w:before="0"/>
                  <w:ind w:left="40" w:right="0" w:firstLine="0"/>
                  <w:jc w:val="left"/>
                  <w:rPr>
                    <w:rFonts w:ascii="隶书"/>
                    <w:sz w:val="28"/>
                  </w:rPr>
                </w:pPr>
                <w:r>
                  <w:rPr/>
                  <w:fldChar w:fldCharType="begin"/>
                </w:r>
                <w:r>
                  <w:rPr>
                    <w:rFonts w:ascii="隶书"/>
                    <w:sz w:val="28"/>
                  </w:rPr>
                  <w:instrText> PAGE </w:instrText>
                </w:r>
                <w:r>
                  <w:rPr/>
                  <w:fldChar w:fldCharType="separate"/>
                </w:r>
                <w:r>
                  <w:rPr/>
                  <w:t>34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288.690002pt;margin-top:753.230347pt;width:18.2pt;height:16.05pt;mso-position-horizontal-relative:page;mso-position-vertical-relative:page;z-index:-254098432" type="#_x0000_t202" filled="false" stroked="false">
          <v:textbox inset="0,0,0,0">
            <w:txbxContent>
              <w:p>
                <w:pPr>
                  <w:spacing w:line="321" w:lineRule="exact" w:before="0"/>
                  <w:ind w:left="40" w:right="0" w:firstLine="0"/>
                  <w:jc w:val="left"/>
                  <w:rPr>
                    <w:rFonts w:ascii="隶书"/>
                    <w:sz w:val="28"/>
                  </w:rPr>
                </w:pPr>
                <w:r>
                  <w:rPr/>
                  <w:fldChar w:fldCharType="begin"/>
                </w:r>
                <w:r>
                  <w:rPr>
                    <w:rFonts w:ascii="隶书"/>
                    <w:sz w:val="28"/>
                  </w:rPr>
                  <w:instrText> PAGE </w:instrText>
                </w:r>
                <w:r>
                  <w:rPr/>
                  <w:fldChar w:fldCharType="separate"/>
                </w:r>
                <w:r>
                  <w:rPr/>
                  <w:t>39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729" w:hanging="179"/>
        <w:jc w:val="right"/>
      </w:pPr>
      <w:rPr>
        <w:rFonts w:hint="default" w:ascii="文星仿宋" w:hAnsi="文星仿宋" w:eastAsia="文星仿宋" w:cs="文星仿宋"/>
        <w:spacing w:val="-1"/>
        <w:w w:val="99"/>
        <w:sz w:val="30"/>
        <w:szCs w:val="30"/>
        <w:lang w:val="zh-CN" w:eastAsia="zh-CN" w:bidi="zh-CN"/>
      </w:rPr>
    </w:lvl>
    <w:lvl w:ilvl="1">
      <w:start w:val="1"/>
      <w:numFmt w:val="decimal"/>
      <w:lvlText w:val="%2."/>
      <w:lvlJc w:val="left"/>
      <w:pPr>
        <w:ind w:left="729" w:hanging="180"/>
        <w:jc w:val="right"/>
      </w:pPr>
      <w:rPr>
        <w:rFonts w:hint="default" w:ascii="文星仿宋" w:hAnsi="文星仿宋" w:eastAsia="文星仿宋" w:cs="文星仿宋"/>
        <w:spacing w:val="-1"/>
        <w:w w:val="99"/>
        <w:sz w:val="30"/>
        <w:szCs w:val="30"/>
        <w:lang w:val="zh-CN" w:eastAsia="zh-CN" w:bidi="zh-CN"/>
      </w:rPr>
    </w:lvl>
    <w:lvl w:ilvl="2">
      <w:start w:val="0"/>
      <w:numFmt w:val="bullet"/>
      <w:lvlText w:val="•"/>
      <w:lvlJc w:val="left"/>
      <w:pPr>
        <w:ind w:left="3682" w:hanging="180"/>
      </w:pPr>
      <w:rPr>
        <w:rFonts w:hint="default"/>
        <w:lang w:val="zh-CN" w:eastAsia="zh-CN" w:bidi="zh-CN"/>
      </w:rPr>
    </w:lvl>
    <w:lvl w:ilvl="3">
      <w:start w:val="0"/>
      <w:numFmt w:val="bullet"/>
      <w:lvlText w:val="•"/>
      <w:lvlJc w:val="left"/>
      <w:pPr>
        <w:ind w:left="4525" w:hanging="180"/>
      </w:pPr>
      <w:rPr>
        <w:rFonts w:hint="default"/>
        <w:lang w:val="zh-CN" w:eastAsia="zh-CN" w:bidi="zh-CN"/>
      </w:rPr>
    </w:lvl>
    <w:lvl w:ilvl="4">
      <w:start w:val="0"/>
      <w:numFmt w:val="bullet"/>
      <w:lvlText w:val="•"/>
      <w:lvlJc w:val="left"/>
      <w:pPr>
        <w:ind w:left="5368" w:hanging="180"/>
      </w:pPr>
      <w:rPr>
        <w:rFonts w:hint="default"/>
        <w:lang w:val="zh-CN" w:eastAsia="zh-CN" w:bidi="zh-CN"/>
      </w:rPr>
    </w:lvl>
    <w:lvl w:ilvl="5">
      <w:start w:val="0"/>
      <w:numFmt w:val="bullet"/>
      <w:lvlText w:val="•"/>
      <w:lvlJc w:val="left"/>
      <w:pPr>
        <w:ind w:left="6211" w:hanging="180"/>
      </w:pPr>
      <w:rPr>
        <w:rFonts w:hint="default"/>
        <w:lang w:val="zh-CN" w:eastAsia="zh-CN" w:bidi="zh-CN"/>
      </w:rPr>
    </w:lvl>
    <w:lvl w:ilvl="6">
      <w:start w:val="0"/>
      <w:numFmt w:val="bullet"/>
      <w:lvlText w:val="•"/>
      <w:lvlJc w:val="left"/>
      <w:pPr>
        <w:ind w:left="7054" w:hanging="180"/>
      </w:pPr>
      <w:rPr>
        <w:rFonts w:hint="default"/>
        <w:lang w:val="zh-CN" w:eastAsia="zh-CN" w:bidi="zh-CN"/>
      </w:rPr>
    </w:lvl>
    <w:lvl w:ilvl="7">
      <w:start w:val="0"/>
      <w:numFmt w:val="bullet"/>
      <w:lvlText w:val="•"/>
      <w:lvlJc w:val="left"/>
      <w:pPr>
        <w:ind w:left="7897" w:hanging="180"/>
      </w:pPr>
      <w:rPr>
        <w:rFonts w:hint="default"/>
        <w:lang w:val="zh-CN" w:eastAsia="zh-CN" w:bidi="zh-CN"/>
      </w:rPr>
    </w:lvl>
    <w:lvl w:ilvl="8">
      <w:start w:val="0"/>
      <w:numFmt w:val="bullet"/>
      <w:lvlText w:val="•"/>
      <w:lvlJc w:val="left"/>
      <w:pPr>
        <w:ind w:left="8740" w:hanging="180"/>
      </w:pPr>
      <w:rPr>
        <w:rFonts w:hint="default"/>
        <w:lang w:val="zh-CN" w:eastAsia="zh-CN" w:bidi="zh-CN"/>
      </w:rPr>
    </w:lvl>
  </w:abstractNum>
  <w:abstractNum w:abstractNumId="14">
    <w:multiLevelType w:val="hybridMultilevel"/>
    <w:lvl w:ilvl="0">
      <w:start w:val="1"/>
      <w:numFmt w:val="decimal"/>
      <w:lvlText w:val="（%1）"/>
      <w:lvlJc w:val="left"/>
      <w:pPr>
        <w:ind w:left="1968" w:hanging="769"/>
        <w:jc w:val="left"/>
      </w:pPr>
      <w:rPr>
        <w:rFonts w:hint="default" w:ascii="文星仿宋" w:hAnsi="文星仿宋" w:eastAsia="文星仿宋" w:cs="文星仿宋"/>
        <w:spacing w:val="-1"/>
        <w:w w:val="99"/>
        <w:sz w:val="30"/>
        <w:szCs w:val="30"/>
        <w:lang w:val="zh-CN" w:eastAsia="zh-CN" w:bidi="zh-CN"/>
      </w:rPr>
    </w:lvl>
    <w:lvl w:ilvl="1">
      <w:start w:val="1"/>
      <w:numFmt w:val="decimal"/>
      <w:lvlText w:val="%2."/>
      <w:lvlJc w:val="left"/>
      <w:pPr>
        <w:ind w:left="1550" w:hanging="179"/>
        <w:jc w:val="left"/>
      </w:pPr>
      <w:rPr>
        <w:rFonts w:hint="default" w:ascii="文星仿宋" w:hAnsi="文星仿宋" w:eastAsia="文星仿宋" w:cs="文星仿宋"/>
        <w:spacing w:val="-2"/>
        <w:w w:val="99"/>
        <w:sz w:val="30"/>
        <w:szCs w:val="30"/>
        <w:lang w:val="zh-CN" w:eastAsia="zh-CN" w:bidi="zh-CN"/>
      </w:rPr>
    </w:lvl>
    <w:lvl w:ilvl="2">
      <w:start w:val="0"/>
      <w:numFmt w:val="bullet"/>
      <w:lvlText w:val="•"/>
      <w:lvlJc w:val="left"/>
      <w:pPr>
        <w:ind w:left="2900" w:hanging="179"/>
      </w:pPr>
      <w:rPr>
        <w:rFonts w:hint="default"/>
        <w:lang w:val="zh-CN" w:eastAsia="zh-CN" w:bidi="zh-CN"/>
      </w:rPr>
    </w:lvl>
    <w:lvl w:ilvl="3">
      <w:start w:val="0"/>
      <w:numFmt w:val="bullet"/>
      <w:lvlText w:val="•"/>
      <w:lvlJc w:val="left"/>
      <w:pPr>
        <w:ind w:left="3841" w:hanging="179"/>
      </w:pPr>
      <w:rPr>
        <w:rFonts w:hint="default"/>
        <w:lang w:val="zh-CN" w:eastAsia="zh-CN" w:bidi="zh-CN"/>
      </w:rPr>
    </w:lvl>
    <w:lvl w:ilvl="4">
      <w:start w:val="0"/>
      <w:numFmt w:val="bullet"/>
      <w:lvlText w:val="•"/>
      <w:lvlJc w:val="left"/>
      <w:pPr>
        <w:ind w:left="4782" w:hanging="179"/>
      </w:pPr>
      <w:rPr>
        <w:rFonts w:hint="default"/>
        <w:lang w:val="zh-CN" w:eastAsia="zh-CN" w:bidi="zh-CN"/>
      </w:rPr>
    </w:lvl>
    <w:lvl w:ilvl="5">
      <w:start w:val="0"/>
      <w:numFmt w:val="bullet"/>
      <w:lvlText w:val="•"/>
      <w:lvlJc w:val="left"/>
      <w:pPr>
        <w:ind w:left="5722" w:hanging="179"/>
      </w:pPr>
      <w:rPr>
        <w:rFonts w:hint="default"/>
        <w:lang w:val="zh-CN" w:eastAsia="zh-CN" w:bidi="zh-CN"/>
      </w:rPr>
    </w:lvl>
    <w:lvl w:ilvl="6">
      <w:start w:val="0"/>
      <w:numFmt w:val="bullet"/>
      <w:lvlText w:val="•"/>
      <w:lvlJc w:val="left"/>
      <w:pPr>
        <w:ind w:left="6663" w:hanging="179"/>
      </w:pPr>
      <w:rPr>
        <w:rFonts w:hint="default"/>
        <w:lang w:val="zh-CN" w:eastAsia="zh-CN" w:bidi="zh-CN"/>
      </w:rPr>
    </w:lvl>
    <w:lvl w:ilvl="7">
      <w:start w:val="0"/>
      <w:numFmt w:val="bullet"/>
      <w:lvlText w:val="•"/>
      <w:lvlJc w:val="left"/>
      <w:pPr>
        <w:ind w:left="7604" w:hanging="179"/>
      </w:pPr>
      <w:rPr>
        <w:rFonts w:hint="default"/>
        <w:lang w:val="zh-CN" w:eastAsia="zh-CN" w:bidi="zh-CN"/>
      </w:rPr>
    </w:lvl>
    <w:lvl w:ilvl="8">
      <w:start w:val="0"/>
      <w:numFmt w:val="bullet"/>
      <w:lvlText w:val="•"/>
      <w:lvlJc w:val="left"/>
      <w:pPr>
        <w:ind w:left="8544" w:hanging="179"/>
      </w:pPr>
      <w:rPr>
        <w:rFonts w:hint="default"/>
        <w:lang w:val="zh-CN" w:eastAsia="zh-CN" w:bidi="zh-CN"/>
      </w:rPr>
    </w:lvl>
  </w:abstractNum>
  <w:abstractNum w:abstractNumId="13">
    <w:multiLevelType w:val="hybridMultilevel"/>
    <w:lvl w:ilvl="0">
      <w:start w:val="1"/>
      <w:numFmt w:val="decimal"/>
      <w:lvlText w:val="%1."/>
      <w:lvlJc w:val="left"/>
      <w:pPr>
        <w:ind w:left="108" w:hanging="183"/>
        <w:jc w:val="left"/>
      </w:pPr>
      <w:rPr>
        <w:rFonts w:hint="default" w:ascii="宋体" w:hAnsi="宋体" w:eastAsia="宋体" w:cs="宋体"/>
        <w:spacing w:val="1"/>
        <w:w w:val="100"/>
        <w:sz w:val="16"/>
        <w:szCs w:val="16"/>
        <w:lang w:val="zh-CN" w:eastAsia="zh-CN" w:bidi="zh-CN"/>
      </w:rPr>
    </w:lvl>
    <w:lvl w:ilvl="1">
      <w:start w:val="0"/>
      <w:numFmt w:val="bullet"/>
      <w:lvlText w:val="•"/>
      <w:lvlJc w:val="left"/>
      <w:pPr>
        <w:ind w:left="288" w:hanging="183"/>
      </w:pPr>
      <w:rPr>
        <w:rFonts w:hint="default"/>
        <w:lang w:val="zh-CN" w:eastAsia="zh-CN" w:bidi="zh-CN"/>
      </w:rPr>
    </w:lvl>
    <w:lvl w:ilvl="2">
      <w:start w:val="0"/>
      <w:numFmt w:val="bullet"/>
      <w:lvlText w:val="•"/>
      <w:lvlJc w:val="left"/>
      <w:pPr>
        <w:ind w:left="476" w:hanging="183"/>
      </w:pPr>
      <w:rPr>
        <w:rFonts w:hint="default"/>
        <w:lang w:val="zh-CN" w:eastAsia="zh-CN" w:bidi="zh-CN"/>
      </w:rPr>
    </w:lvl>
    <w:lvl w:ilvl="3">
      <w:start w:val="0"/>
      <w:numFmt w:val="bullet"/>
      <w:lvlText w:val="•"/>
      <w:lvlJc w:val="left"/>
      <w:pPr>
        <w:ind w:left="664" w:hanging="183"/>
      </w:pPr>
      <w:rPr>
        <w:rFonts w:hint="default"/>
        <w:lang w:val="zh-CN" w:eastAsia="zh-CN" w:bidi="zh-CN"/>
      </w:rPr>
    </w:lvl>
    <w:lvl w:ilvl="4">
      <w:start w:val="0"/>
      <w:numFmt w:val="bullet"/>
      <w:lvlText w:val="•"/>
      <w:lvlJc w:val="left"/>
      <w:pPr>
        <w:ind w:left="852" w:hanging="183"/>
      </w:pPr>
      <w:rPr>
        <w:rFonts w:hint="default"/>
        <w:lang w:val="zh-CN" w:eastAsia="zh-CN" w:bidi="zh-CN"/>
      </w:rPr>
    </w:lvl>
    <w:lvl w:ilvl="5">
      <w:start w:val="0"/>
      <w:numFmt w:val="bullet"/>
      <w:lvlText w:val="•"/>
      <w:lvlJc w:val="left"/>
      <w:pPr>
        <w:ind w:left="1040" w:hanging="183"/>
      </w:pPr>
      <w:rPr>
        <w:rFonts w:hint="default"/>
        <w:lang w:val="zh-CN" w:eastAsia="zh-CN" w:bidi="zh-CN"/>
      </w:rPr>
    </w:lvl>
    <w:lvl w:ilvl="6">
      <w:start w:val="0"/>
      <w:numFmt w:val="bullet"/>
      <w:lvlText w:val="•"/>
      <w:lvlJc w:val="left"/>
      <w:pPr>
        <w:ind w:left="1228" w:hanging="183"/>
      </w:pPr>
      <w:rPr>
        <w:rFonts w:hint="default"/>
        <w:lang w:val="zh-CN" w:eastAsia="zh-CN" w:bidi="zh-CN"/>
      </w:rPr>
    </w:lvl>
    <w:lvl w:ilvl="7">
      <w:start w:val="0"/>
      <w:numFmt w:val="bullet"/>
      <w:lvlText w:val="•"/>
      <w:lvlJc w:val="left"/>
      <w:pPr>
        <w:ind w:left="1416" w:hanging="183"/>
      </w:pPr>
      <w:rPr>
        <w:rFonts w:hint="default"/>
        <w:lang w:val="zh-CN" w:eastAsia="zh-CN" w:bidi="zh-CN"/>
      </w:rPr>
    </w:lvl>
    <w:lvl w:ilvl="8">
      <w:start w:val="0"/>
      <w:numFmt w:val="bullet"/>
      <w:lvlText w:val="•"/>
      <w:lvlJc w:val="left"/>
      <w:pPr>
        <w:ind w:left="1604" w:hanging="183"/>
      </w:pPr>
      <w:rPr>
        <w:rFonts w:hint="default"/>
        <w:lang w:val="zh-CN" w:eastAsia="zh-CN" w:bidi="zh-CN"/>
      </w:rPr>
    </w:lvl>
  </w:abstractNum>
  <w:abstractNum w:abstractNumId="12">
    <w:multiLevelType w:val="hybridMultilevel"/>
    <w:lvl w:ilvl="0">
      <w:start w:val="1"/>
      <w:numFmt w:val="decimal"/>
      <w:lvlText w:val="%1."/>
      <w:lvlJc w:val="left"/>
      <w:pPr>
        <w:ind w:left="290" w:hanging="183"/>
        <w:jc w:val="left"/>
      </w:pPr>
      <w:rPr>
        <w:rFonts w:hint="default" w:ascii="宋体" w:hAnsi="宋体" w:eastAsia="宋体" w:cs="宋体"/>
        <w:spacing w:val="1"/>
        <w:w w:val="100"/>
        <w:sz w:val="16"/>
        <w:szCs w:val="16"/>
        <w:lang w:val="zh-CN" w:eastAsia="zh-CN" w:bidi="zh-CN"/>
      </w:rPr>
    </w:lvl>
    <w:lvl w:ilvl="1">
      <w:start w:val="0"/>
      <w:numFmt w:val="bullet"/>
      <w:lvlText w:val="•"/>
      <w:lvlJc w:val="left"/>
      <w:pPr>
        <w:ind w:left="1014" w:hanging="183"/>
      </w:pPr>
      <w:rPr>
        <w:rFonts w:hint="default"/>
        <w:lang w:val="zh-CN" w:eastAsia="zh-CN" w:bidi="zh-CN"/>
      </w:rPr>
    </w:lvl>
    <w:lvl w:ilvl="2">
      <w:start w:val="0"/>
      <w:numFmt w:val="bullet"/>
      <w:lvlText w:val="•"/>
      <w:lvlJc w:val="left"/>
      <w:pPr>
        <w:ind w:left="1729" w:hanging="183"/>
      </w:pPr>
      <w:rPr>
        <w:rFonts w:hint="default"/>
        <w:lang w:val="zh-CN" w:eastAsia="zh-CN" w:bidi="zh-CN"/>
      </w:rPr>
    </w:lvl>
    <w:lvl w:ilvl="3">
      <w:start w:val="0"/>
      <w:numFmt w:val="bullet"/>
      <w:lvlText w:val="•"/>
      <w:lvlJc w:val="left"/>
      <w:pPr>
        <w:ind w:left="2444" w:hanging="183"/>
      </w:pPr>
      <w:rPr>
        <w:rFonts w:hint="default"/>
        <w:lang w:val="zh-CN" w:eastAsia="zh-CN" w:bidi="zh-CN"/>
      </w:rPr>
    </w:lvl>
    <w:lvl w:ilvl="4">
      <w:start w:val="0"/>
      <w:numFmt w:val="bullet"/>
      <w:lvlText w:val="•"/>
      <w:lvlJc w:val="left"/>
      <w:pPr>
        <w:ind w:left="3159" w:hanging="183"/>
      </w:pPr>
      <w:rPr>
        <w:rFonts w:hint="default"/>
        <w:lang w:val="zh-CN" w:eastAsia="zh-CN" w:bidi="zh-CN"/>
      </w:rPr>
    </w:lvl>
    <w:lvl w:ilvl="5">
      <w:start w:val="0"/>
      <w:numFmt w:val="bullet"/>
      <w:lvlText w:val="•"/>
      <w:lvlJc w:val="left"/>
      <w:pPr>
        <w:ind w:left="3874" w:hanging="183"/>
      </w:pPr>
      <w:rPr>
        <w:rFonts w:hint="default"/>
        <w:lang w:val="zh-CN" w:eastAsia="zh-CN" w:bidi="zh-CN"/>
      </w:rPr>
    </w:lvl>
    <w:lvl w:ilvl="6">
      <w:start w:val="0"/>
      <w:numFmt w:val="bullet"/>
      <w:lvlText w:val="•"/>
      <w:lvlJc w:val="left"/>
      <w:pPr>
        <w:ind w:left="4589" w:hanging="183"/>
      </w:pPr>
      <w:rPr>
        <w:rFonts w:hint="default"/>
        <w:lang w:val="zh-CN" w:eastAsia="zh-CN" w:bidi="zh-CN"/>
      </w:rPr>
    </w:lvl>
    <w:lvl w:ilvl="7">
      <w:start w:val="0"/>
      <w:numFmt w:val="bullet"/>
      <w:lvlText w:val="•"/>
      <w:lvlJc w:val="left"/>
      <w:pPr>
        <w:ind w:left="5304" w:hanging="183"/>
      </w:pPr>
      <w:rPr>
        <w:rFonts w:hint="default"/>
        <w:lang w:val="zh-CN" w:eastAsia="zh-CN" w:bidi="zh-CN"/>
      </w:rPr>
    </w:lvl>
    <w:lvl w:ilvl="8">
      <w:start w:val="0"/>
      <w:numFmt w:val="bullet"/>
      <w:lvlText w:val="•"/>
      <w:lvlJc w:val="left"/>
      <w:pPr>
        <w:ind w:left="6019" w:hanging="183"/>
      </w:pPr>
      <w:rPr>
        <w:rFonts w:hint="default"/>
        <w:lang w:val="zh-CN" w:eastAsia="zh-CN" w:bidi="zh-CN"/>
      </w:rPr>
    </w:lvl>
  </w:abstractNum>
  <w:abstractNum w:abstractNumId="11">
    <w:multiLevelType w:val="hybridMultilevel"/>
    <w:lvl w:ilvl="0">
      <w:start w:val="1"/>
      <w:numFmt w:val="decimal"/>
      <w:lvlText w:val="%1."/>
      <w:lvlJc w:val="left"/>
      <w:pPr>
        <w:ind w:left="290" w:hanging="183"/>
        <w:jc w:val="left"/>
      </w:pPr>
      <w:rPr>
        <w:rFonts w:hint="default" w:ascii="宋体" w:hAnsi="宋体" w:eastAsia="宋体" w:cs="宋体"/>
        <w:spacing w:val="1"/>
        <w:w w:val="100"/>
        <w:sz w:val="16"/>
        <w:szCs w:val="16"/>
        <w:lang w:val="zh-CN" w:eastAsia="zh-CN" w:bidi="zh-CN"/>
      </w:rPr>
    </w:lvl>
    <w:lvl w:ilvl="1">
      <w:start w:val="0"/>
      <w:numFmt w:val="bullet"/>
      <w:lvlText w:val="•"/>
      <w:lvlJc w:val="left"/>
      <w:pPr>
        <w:ind w:left="1014" w:hanging="183"/>
      </w:pPr>
      <w:rPr>
        <w:rFonts w:hint="default"/>
        <w:lang w:val="zh-CN" w:eastAsia="zh-CN" w:bidi="zh-CN"/>
      </w:rPr>
    </w:lvl>
    <w:lvl w:ilvl="2">
      <w:start w:val="0"/>
      <w:numFmt w:val="bullet"/>
      <w:lvlText w:val="•"/>
      <w:lvlJc w:val="left"/>
      <w:pPr>
        <w:ind w:left="1729" w:hanging="183"/>
      </w:pPr>
      <w:rPr>
        <w:rFonts w:hint="default"/>
        <w:lang w:val="zh-CN" w:eastAsia="zh-CN" w:bidi="zh-CN"/>
      </w:rPr>
    </w:lvl>
    <w:lvl w:ilvl="3">
      <w:start w:val="0"/>
      <w:numFmt w:val="bullet"/>
      <w:lvlText w:val="•"/>
      <w:lvlJc w:val="left"/>
      <w:pPr>
        <w:ind w:left="2444" w:hanging="183"/>
      </w:pPr>
      <w:rPr>
        <w:rFonts w:hint="default"/>
        <w:lang w:val="zh-CN" w:eastAsia="zh-CN" w:bidi="zh-CN"/>
      </w:rPr>
    </w:lvl>
    <w:lvl w:ilvl="4">
      <w:start w:val="0"/>
      <w:numFmt w:val="bullet"/>
      <w:lvlText w:val="•"/>
      <w:lvlJc w:val="left"/>
      <w:pPr>
        <w:ind w:left="3159" w:hanging="183"/>
      </w:pPr>
      <w:rPr>
        <w:rFonts w:hint="default"/>
        <w:lang w:val="zh-CN" w:eastAsia="zh-CN" w:bidi="zh-CN"/>
      </w:rPr>
    </w:lvl>
    <w:lvl w:ilvl="5">
      <w:start w:val="0"/>
      <w:numFmt w:val="bullet"/>
      <w:lvlText w:val="•"/>
      <w:lvlJc w:val="left"/>
      <w:pPr>
        <w:ind w:left="3874" w:hanging="183"/>
      </w:pPr>
      <w:rPr>
        <w:rFonts w:hint="default"/>
        <w:lang w:val="zh-CN" w:eastAsia="zh-CN" w:bidi="zh-CN"/>
      </w:rPr>
    </w:lvl>
    <w:lvl w:ilvl="6">
      <w:start w:val="0"/>
      <w:numFmt w:val="bullet"/>
      <w:lvlText w:val="•"/>
      <w:lvlJc w:val="left"/>
      <w:pPr>
        <w:ind w:left="4589" w:hanging="183"/>
      </w:pPr>
      <w:rPr>
        <w:rFonts w:hint="default"/>
        <w:lang w:val="zh-CN" w:eastAsia="zh-CN" w:bidi="zh-CN"/>
      </w:rPr>
    </w:lvl>
    <w:lvl w:ilvl="7">
      <w:start w:val="0"/>
      <w:numFmt w:val="bullet"/>
      <w:lvlText w:val="•"/>
      <w:lvlJc w:val="left"/>
      <w:pPr>
        <w:ind w:left="5304" w:hanging="183"/>
      </w:pPr>
      <w:rPr>
        <w:rFonts w:hint="default"/>
        <w:lang w:val="zh-CN" w:eastAsia="zh-CN" w:bidi="zh-CN"/>
      </w:rPr>
    </w:lvl>
    <w:lvl w:ilvl="8">
      <w:start w:val="0"/>
      <w:numFmt w:val="bullet"/>
      <w:lvlText w:val="•"/>
      <w:lvlJc w:val="left"/>
      <w:pPr>
        <w:ind w:left="6019" w:hanging="183"/>
      </w:pPr>
      <w:rPr>
        <w:rFonts w:hint="default"/>
        <w:lang w:val="zh-CN" w:eastAsia="zh-CN" w:bidi="zh-CN"/>
      </w:rPr>
    </w:lvl>
  </w:abstractNum>
  <w:abstractNum w:abstractNumId="10">
    <w:multiLevelType w:val="hybridMultilevel"/>
    <w:lvl w:ilvl="0">
      <w:start w:val="1"/>
      <w:numFmt w:val="decimal"/>
      <w:lvlText w:val="%1."/>
      <w:lvlJc w:val="left"/>
      <w:pPr>
        <w:ind w:left="445" w:hanging="226"/>
        <w:jc w:val="left"/>
      </w:pPr>
      <w:rPr>
        <w:rFonts w:hint="default" w:ascii="宋体" w:hAnsi="宋体" w:eastAsia="宋体" w:cs="宋体"/>
        <w:spacing w:val="0"/>
        <w:w w:val="100"/>
        <w:sz w:val="15"/>
        <w:szCs w:val="15"/>
        <w:lang w:val="zh-CN" w:eastAsia="zh-CN" w:bidi="zh-CN"/>
      </w:rPr>
    </w:lvl>
    <w:lvl w:ilvl="1">
      <w:start w:val="1"/>
      <w:numFmt w:val="decimal"/>
      <w:lvlText w:val="%2."/>
      <w:lvlJc w:val="left"/>
      <w:pPr>
        <w:ind w:left="558" w:hanging="341"/>
        <w:jc w:val="left"/>
      </w:pPr>
      <w:rPr>
        <w:rFonts w:hint="default" w:ascii="文星仿宋" w:hAnsi="文星仿宋" w:eastAsia="文星仿宋" w:cs="文星仿宋"/>
        <w:spacing w:val="-1"/>
        <w:w w:val="99"/>
        <w:sz w:val="32"/>
        <w:szCs w:val="32"/>
        <w:lang w:val="zh-CN" w:eastAsia="zh-CN" w:bidi="zh-CN"/>
      </w:rPr>
    </w:lvl>
    <w:lvl w:ilvl="2">
      <w:start w:val="0"/>
      <w:numFmt w:val="bullet"/>
      <w:lvlText w:val="•"/>
      <w:lvlJc w:val="left"/>
      <w:pPr>
        <w:ind w:left="1616" w:hanging="341"/>
      </w:pPr>
      <w:rPr>
        <w:rFonts w:hint="default"/>
        <w:lang w:val="zh-CN" w:eastAsia="zh-CN" w:bidi="zh-CN"/>
      </w:rPr>
    </w:lvl>
    <w:lvl w:ilvl="3">
      <w:start w:val="0"/>
      <w:numFmt w:val="bullet"/>
      <w:lvlText w:val="•"/>
      <w:lvlJc w:val="left"/>
      <w:pPr>
        <w:ind w:left="2672" w:hanging="341"/>
      </w:pPr>
      <w:rPr>
        <w:rFonts w:hint="default"/>
        <w:lang w:val="zh-CN" w:eastAsia="zh-CN" w:bidi="zh-CN"/>
      </w:rPr>
    </w:lvl>
    <w:lvl w:ilvl="4">
      <w:start w:val="0"/>
      <w:numFmt w:val="bullet"/>
      <w:lvlText w:val="•"/>
      <w:lvlJc w:val="left"/>
      <w:pPr>
        <w:ind w:left="3728" w:hanging="341"/>
      </w:pPr>
      <w:rPr>
        <w:rFonts w:hint="default"/>
        <w:lang w:val="zh-CN" w:eastAsia="zh-CN" w:bidi="zh-CN"/>
      </w:rPr>
    </w:lvl>
    <w:lvl w:ilvl="5">
      <w:start w:val="0"/>
      <w:numFmt w:val="bullet"/>
      <w:lvlText w:val="•"/>
      <w:lvlJc w:val="left"/>
      <w:pPr>
        <w:ind w:left="4785" w:hanging="341"/>
      </w:pPr>
      <w:rPr>
        <w:rFonts w:hint="default"/>
        <w:lang w:val="zh-CN" w:eastAsia="zh-CN" w:bidi="zh-CN"/>
      </w:rPr>
    </w:lvl>
    <w:lvl w:ilvl="6">
      <w:start w:val="0"/>
      <w:numFmt w:val="bullet"/>
      <w:lvlText w:val="•"/>
      <w:lvlJc w:val="left"/>
      <w:pPr>
        <w:ind w:left="5841" w:hanging="341"/>
      </w:pPr>
      <w:rPr>
        <w:rFonts w:hint="default"/>
        <w:lang w:val="zh-CN" w:eastAsia="zh-CN" w:bidi="zh-CN"/>
      </w:rPr>
    </w:lvl>
    <w:lvl w:ilvl="7">
      <w:start w:val="0"/>
      <w:numFmt w:val="bullet"/>
      <w:lvlText w:val="•"/>
      <w:lvlJc w:val="left"/>
      <w:pPr>
        <w:ind w:left="6897" w:hanging="341"/>
      </w:pPr>
      <w:rPr>
        <w:rFonts w:hint="default"/>
        <w:lang w:val="zh-CN" w:eastAsia="zh-CN" w:bidi="zh-CN"/>
      </w:rPr>
    </w:lvl>
    <w:lvl w:ilvl="8">
      <w:start w:val="0"/>
      <w:numFmt w:val="bullet"/>
      <w:lvlText w:val="•"/>
      <w:lvlJc w:val="left"/>
      <w:pPr>
        <w:ind w:left="7953" w:hanging="341"/>
      </w:pPr>
      <w:rPr>
        <w:rFonts w:hint="default"/>
        <w:lang w:val="zh-CN" w:eastAsia="zh-CN" w:bidi="zh-CN"/>
      </w:rPr>
    </w:lvl>
  </w:abstractNum>
  <w:abstractNum w:abstractNumId="9">
    <w:multiLevelType w:val="hybridMultilevel"/>
    <w:lvl w:ilvl="0">
      <w:start w:val="4"/>
      <w:numFmt w:val="decimal"/>
      <w:lvlText w:val="%1."/>
      <w:lvlJc w:val="left"/>
      <w:pPr>
        <w:ind w:left="258" w:hanging="154"/>
        <w:jc w:val="left"/>
      </w:pPr>
      <w:rPr>
        <w:rFonts w:hint="default" w:ascii="宋体" w:hAnsi="宋体" w:eastAsia="宋体" w:cs="宋体"/>
        <w:spacing w:val="-2"/>
        <w:w w:val="100"/>
        <w:sz w:val="13"/>
        <w:szCs w:val="13"/>
        <w:lang w:val="zh-CN" w:eastAsia="zh-CN" w:bidi="zh-CN"/>
      </w:rPr>
    </w:lvl>
    <w:lvl w:ilvl="1">
      <w:start w:val="0"/>
      <w:numFmt w:val="bullet"/>
      <w:lvlText w:val="•"/>
      <w:lvlJc w:val="left"/>
      <w:pPr>
        <w:ind w:left="498" w:hanging="154"/>
      </w:pPr>
      <w:rPr>
        <w:rFonts w:hint="default"/>
        <w:lang w:val="zh-CN" w:eastAsia="zh-CN" w:bidi="zh-CN"/>
      </w:rPr>
    </w:lvl>
    <w:lvl w:ilvl="2">
      <w:start w:val="0"/>
      <w:numFmt w:val="bullet"/>
      <w:lvlText w:val="•"/>
      <w:lvlJc w:val="left"/>
      <w:pPr>
        <w:ind w:left="737" w:hanging="154"/>
      </w:pPr>
      <w:rPr>
        <w:rFonts w:hint="default"/>
        <w:lang w:val="zh-CN" w:eastAsia="zh-CN" w:bidi="zh-CN"/>
      </w:rPr>
    </w:lvl>
    <w:lvl w:ilvl="3">
      <w:start w:val="0"/>
      <w:numFmt w:val="bullet"/>
      <w:lvlText w:val="•"/>
      <w:lvlJc w:val="left"/>
      <w:pPr>
        <w:ind w:left="976" w:hanging="154"/>
      </w:pPr>
      <w:rPr>
        <w:rFonts w:hint="default"/>
        <w:lang w:val="zh-CN" w:eastAsia="zh-CN" w:bidi="zh-CN"/>
      </w:rPr>
    </w:lvl>
    <w:lvl w:ilvl="4">
      <w:start w:val="0"/>
      <w:numFmt w:val="bullet"/>
      <w:lvlText w:val="•"/>
      <w:lvlJc w:val="left"/>
      <w:pPr>
        <w:ind w:left="1215" w:hanging="154"/>
      </w:pPr>
      <w:rPr>
        <w:rFonts w:hint="default"/>
        <w:lang w:val="zh-CN" w:eastAsia="zh-CN" w:bidi="zh-CN"/>
      </w:rPr>
    </w:lvl>
    <w:lvl w:ilvl="5">
      <w:start w:val="0"/>
      <w:numFmt w:val="bullet"/>
      <w:lvlText w:val="•"/>
      <w:lvlJc w:val="left"/>
      <w:pPr>
        <w:ind w:left="1454" w:hanging="154"/>
      </w:pPr>
      <w:rPr>
        <w:rFonts w:hint="default"/>
        <w:lang w:val="zh-CN" w:eastAsia="zh-CN" w:bidi="zh-CN"/>
      </w:rPr>
    </w:lvl>
    <w:lvl w:ilvl="6">
      <w:start w:val="0"/>
      <w:numFmt w:val="bullet"/>
      <w:lvlText w:val="•"/>
      <w:lvlJc w:val="left"/>
      <w:pPr>
        <w:ind w:left="1692" w:hanging="154"/>
      </w:pPr>
      <w:rPr>
        <w:rFonts w:hint="default"/>
        <w:lang w:val="zh-CN" w:eastAsia="zh-CN" w:bidi="zh-CN"/>
      </w:rPr>
    </w:lvl>
    <w:lvl w:ilvl="7">
      <w:start w:val="0"/>
      <w:numFmt w:val="bullet"/>
      <w:lvlText w:val="•"/>
      <w:lvlJc w:val="left"/>
      <w:pPr>
        <w:ind w:left="1931" w:hanging="154"/>
      </w:pPr>
      <w:rPr>
        <w:rFonts w:hint="default"/>
        <w:lang w:val="zh-CN" w:eastAsia="zh-CN" w:bidi="zh-CN"/>
      </w:rPr>
    </w:lvl>
    <w:lvl w:ilvl="8">
      <w:start w:val="0"/>
      <w:numFmt w:val="bullet"/>
      <w:lvlText w:val="•"/>
      <w:lvlJc w:val="left"/>
      <w:pPr>
        <w:ind w:left="2170" w:hanging="154"/>
      </w:pPr>
      <w:rPr>
        <w:rFonts w:hint="default"/>
        <w:lang w:val="zh-CN" w:eastAsia="zh-CN" w:bidi="zh-CN"/>
      </w:rPr>
    </w:lvl>
  </w:abstractNum>
  <w:abstractNum w:abstractNumId="8">
    <w:multiLevelType w:val="hybridMultilevel"/>
    <w:lvl w:ilvl="0">
      <w:start w:val="1"/>
      <w:numFmt w:val="decimal"/>
      <w:lvlText w:val="%1."/>
      <w:lvlJc w:val="left"/>
      <w:pPr>
        <w:ind w:left="258" w:hanging="154"/>
        <w:jc w:val="left"/>
      </w:pPr>
      <w:rPr>
        <w:rFonts w:hint="default" w:ascii="宋体" w:hAnsi="宋体" w:eastAsia="宋体" w:cs="宋体"/>
        <w:spacing w:val="-2"/>
        <w:w w:val="100"/>
        <w:sz w:val="13"/>
        <w:szCs w:val="13"/>
        <w:lang w:val="zh-CN" w:eastAsia="zh-CN" w:bidi="zh-CN"/>
      </w:rPr>
    </w:lvl>
    <w:lvl w:ilvl="1">
      <w:start w:val="0"/>
      <w:numFmt w:val="bullet"/>
      <w:lvlText w:val="•"/>
      <w:lvlJc w:val="left"/>
      <w:pPr>
        <w:ind w:left="498" w:hanging="154"/>
      </w:pPr>
      <w:rPr>
        <w:rFonts w:hint="default"/>
        <w:lang w:val="zh-CN" w:eastAsia="zh-CN" w:bidi="zh-CN"/>
      </w:rPr>
    </w:lvl>
    <w:lvl w:ilvl="2">
      <w:start w:val="0"/>
      <w:numFmt w:val="bullet"/>
      <w:lvlText w:val="•"/>
      <w:lvlJc w:val="left"/>
      <w:pPr>
        <w:ind w:left="737" w:hanging="154"/>
      </w:pPr>
      <w:rPr>
        <w:rFonts w:hint="default"/>
        <w:lang w:val="zh-CN" w:eastAsia="zh-CN" w:bidi="zh-CN"/>
      </w:rPr>
    </w:lvl>
    <w:lvl w:ilvl="3">
      <w:start w:val="0"/>
      <w:numFmt w:val="bullet"/>
      <w:lvlText w:val="•"/>
      <w:lvlJc w:val="left"/>
      <w:pPr>
        <w:ind w:left="976" w:hanging="154"/>
      </w:pPr>
      <w:rPr>
        <w:rFonts w:hint="default"/>
        <w:lang w:val="zh-CN" w:eastAsia="zh-CN" w:bidi="zh-CN"/>
      </w:rPr>
    </w:lvl>
    <w:lvl w:ilvl="4">
      <w:start w:val="0"/>
      <w:numFmt w:val="bullet"/>
      <w:lvlText w:val="•"/>
      <w:lvlJc w:val="left"/>
      <w:pPr>
        <w:ind w:left="1215" w:hanging="154"/>
      </w:pPr>
      <w:rPr>
        <w:rFonts w:hint="default"/>
        <w:lang w:val="zh-CN" w:eastAsia="zh-CN" w:bidi="zh-CN"/>
      </w:rPr>
    </w:lvl>
    <w:lvl w:ilvl="5">
      <w:start w:val="0"/>
      <w:numFmt w:val="bullet"/>
      <w:lvlText w:val="•"/>
      <w:lvlJc w:val="left"/>
      <w:pPr>
        <w:ind w:left="1454" w:hanging="154"/>
      </w:pPr>
      <w:rPr>
        <w:rFonts w:hint="default"/>
        <w:lang w:val="zh-CN" w:eastAsia="zh-CN" w:bidi="zh-CN"/>
      </w:rPr>
    </w:lvl>
    <w:lvl w:ilvl="6">
      <w:start w:val="0"/>
      <w:numFmt w:val="bullet"/>
      <w:lvlText w:val="•"/>
      <w:lvlJc w:val="left"/>
      <w:pPr>
        <w:ind w:left="1692" w:hanging="154"/>
      </w:pPr>
      <w:rPr>
        <w:rFonts w:hint="default"/>
        <w:lang w:val="zh-CN" w:eastAsia="zh-CN" w:bidi="zh-CN"/>
      </w:rPr>
    </w:lvl>
    <w:lvl w:ilvl="7">
      <w:start w:val="0"/>
      <w:numFmt w:val="bullet"/>
      <w:lvlText w:val="•"/>
      <w:lvlJc w:val="left"/>
      <w:pPr>
        <w:ind w:left="1931" w:hanging="154"/>
      </w:pPr>
      <w:rPr>
        <w:rFonts w:hint="default"/>
        <w:lang w:val="zh-CN" w:eastAsia="zh-CN" w:bidi="zh-CN"/>
      </w:rPr>
    </w:lvl>
    <w:lvl w:ilvl="8">
      <w:start w:val="0"/>
      <w:numFmt w:val="bullet"/>
      <w:lvlText w:val="•"/>
      <w:lvlJc w:val="left"/>
      <w:pPr>
        <w:ind w:left="2170" w:hanging="154"/>
      </w:pPr>
      <w:rPr>
        <w:rFonts w:hint="default"/>
        <w:lang w:val="zh-CN" w:eastAsia="zh-CN" w:bidi="zh-CN"/>
      </w:rPr>
    </w:lvl>
  </w:abstractNum>
  <w:abstractNum w:abstractNumId="7">
    <w:multiLevelType w:val="hybridMultilevel"/>
    <w:lvl w:ilvl="0">
      <w:start w:val="1"/>
      <w:numFmt w:val="decimal"/>
      <w:lvlText w:val="（%1）"/>
      <w:lvlJc w:val="left"/>
      <w:pPr>
        <w:ind w:left="106" w:hanging="769"/>
        <w:jc w:val="left"/>
      </w:pPr>
      <w:rPr>
        <w:rFonts w:hint="default" w:ascii="文星仿宋" w:hAnsi="文星仿宋" w:eastAsia="文星仿宋" w:cs="文星仿宋"/>
        <w:spacing w:val="-13"/>
        <w:w w:val="99"/>
        <w:sz w:val="30"/>
        <w:szCs w:val="30"/>
        <w:lang w:val="zh-CN" w:eastAsia="zh-CN" w:bidi="zh-CN"/>
      </w:rPr>
    </w:lvl>
    <w:lvl w:ilvl="1">
      <w:start w:val="0"/>
      <w:numFmt w:val="bullet"/>
      <w:lvlText w:val="•"/>
      <w:lvlJc w:val="left"/>
      <w:pPr>
        <w:ind w:left="1016" w:hanging="769"/>
      </w:pPr>
      <w:rPr>
        <w:rFonts w:hint="default"/>
        <w:lang w:val="zh-CN" w:eastAsia="zh-CN" w:bidi="zh-CN"/>
      </w:rPr>
    </w:lvl>
    <w:lvl w:ilvl="2">
      <w:start w:val="0"/>
      <w:numFmt w:val="bullet"/>
      <w:lvlText w:val="•"/>
      <w:lvlJc w:val="left"/>
      <w:pPr>
        <w:ind w:left="1933" w:hanging="769"/>
      </w:pPr>
      <w:rPr>
        <w:rFonts w:hint="default"/>
        <w:lang w:val="zh-CN" w:eastAsia="zh-CN" w:bidi="zh-CN"/>
      </w:rPr>
    </w:lvl>
    <w:lvl w:ilvl="3">
      <w:start w:val="0"/>
      <w:numFmt w:val="bullet"/>
      <w:lvlText w:val="•"/>
      <w:lvlJc w:val="left"/>
      <w:pPr>
        <w:ind w:left="2849" w:hanging="769"/>
      </w:pPr>
      <w:rPr>
        <w:rFonts w:hint="default"/>
        <w:lang w:val="zh-CN" w:eastAsia="zh-CN" w:bidi="zh-CN"/>
      </w:rPr>
    </w:lvl>
    <w:lvl w:ilvl="4">
      <w:start w:val="0"/>
      <w:numFmt w:val="bullet"/>
      <w:lvlText w:val="•"/>
      <w:lvlJc w:val="left"/>
      <w:pPr>
        <w:ind w:left="3766" w:hanging="769"/>
      </w:pPr>
      <w:rPr>
        <w:rFonts w:hint="default"/>
        <w:lang w:val="zh-CN" w:eastAsia="zh-CN" w:bidi="zh-CN"/>
      </w:rPr>
    </w:lvl>
    <w:lvl w:ilvl="5">
      <w:start w:val="0"/>
      <w:numFmt w:val="bullet"/>
      <w:lvlText w:val="•"/>
      <w:lvlJc w:val="left"/>
      <w:pPr>
        <w:ind w:left="4683" w:hanging="769"/>
      </w:pPr>
      <w:rPr>
        <w:rFonts w:hint="default"/>
        <w:lang w:val="zh-CN" w:eastAsia="zh-CN" w:bidi="zh-CN"/>
      </w:rPr>
    </w:lvl>
    <w:lvl w:ilvl="6">
      <w:start w:val="0"/>
      <w:numFmt w:val="bullet"/>
      <w:lvlText w:val="•"/>
      <w:lvlJc w:val="left"/>
      <w:pPr>
        <w:ind w:left="5599" w:hanging="769"/>
      </w:pPr>
      <w:rPr>
        <w:rFonts w:hint="default"/>
        <w:lang w:val="zh-CN" w:eastAsia="zh-CN" w:bidi="zh-CN"/>
      </w:rPr>
    </w:lvl>
    <w:lvl w:ilvl="7">
      <w:start w:val="0"/>
      <w:numFmt w:val="bullet"/>
      <w:lvlText w:val="•"/>
      <w:lvlJc w:val="left"/>
      <w:pPr>
        <w:ind w:left="6516" w:hanging="769"/>
      </w:pPr>
      <w:rPr>
        <w:rFonts w:hint="default"/>
        <w:lang w:val="zh-CN" w:eastAsia="zh-CN" w:bidi="zh-CN"/>
      </w:rPr>
    </w:lvl>
    <w:lvl w:ilvl="8">
      <w:start w:val="0"/>
      <w:numFmt w:val="bullet"/>
      <w:lvlText w:val="•"/>
      <w:lvlJc w:val="left"/>
      <w:pPr>
        <w:ind w:left="7433" w:hanging="769"/>
      </w:pPr>
      <w:rPr>
        <w:rFonts w:hint="default"/>
        <w:lang w:val="zh-CN" w:eastAsia="zh-CN" w:bidi="zh-CN"/>
      </w:rPr>
    </w:lvl>
  </w:abstractNum>
  <w:abstractNum w:abstractNumId="6">
    <w:multiLevelType w:val="hybridMultilevel"/>
    <w:lvl w:ilvl="0">
      <w:start w:val="1"/>
      <w:numFmt w:val="decimal"/>
      <w:lvlText w:val="（%1）"/>
      <w:lvlJc w:val="left"/>
      <w:pPr>
        <w:ind w:left="106" w:hanging="783"/>
        <w:jc w:val="left"/>
      </w:pPr>
      <w:rPr>
        <w:rFonts w:hint="default" w:ascii="文星仿宋" w:hAnsi="文星仿宋" w:eastAsia="文星仿宋" w:cs="文星仿宋"/>
        <w:spacing w:val="1"/>
        <w:w w:val="99"/>
        <w:sz w:val="30"/>
        <w:szCs w:val="30"/>
        <w:lang w:val="zh-CN" w:eastAsia="zh-CN" w:bidi="zh-CN"/>
      </w:rPr>
    </w:lvl>
    <w:lvl w:ilvl="1">
      <w:start w:val="0"/>
      <w:numFmt w:val="bullet"/>
      <w:lvlText w:val="•"/>
      <w:lvlJc w:val="left"/>
      <w:pPr>
        <w:ind w:left="1016" w:hanging="783"/>
      </w:pPr>
      <w:rPr>
        <w:rFonts w:hint="default"/>
        <w:lang w:val="zh-CN" w:eastAsia="zh-CN" w:bidi="zh-CN"/>
      </w:rPr>
    </w:lvl>
    <w:lvl w:ilvl="2">
      <w:start w:val="0"/>
      <w:numFmt w:val="bullet"/>
      <w:lvlText w:val="•"/>
      <w:lvlJc w:val="left"/>
      <w:pPr>
        <w:ind w:left="1933" w:hanging="783"/>
      </w:pPr>
      <w:rPr>
        <w:rFonts w:hint="default"/>
        <w:lang w:val="zh-CN" w:eastAsia="zh-CN" w:bidi="zh-CN"/>
      </w:rPr>
    </w:lvl>
    <w:lvl w:ilvl="3">
      <w:start w:val="0"/>
      <w:numFmt w:val="bullet"/>
      <w:lvlText w:val="•"/>
      <w:lvlJc w:val="left"/>
      <w:pPr>
        <w:ind w:left="2849" w:hanging="783"/>
      </w:pPr>
      <w:rPr>
        <w:rFonts w:hint="default"/>
        <w:lang w:val="zh-CN" w:eastAsia="zh-CN" w:bidi="zh-CN"/>
      </w:rPr>
    </w:lvl>
    <w:lvl w:ilvl="4">
      <w:start w:val="0"/>
      <w:numFmt w:val="bullet"/>
      <w:lvlText w:val="•"/>
      <w:lvlJc w:val="left"/>
      <w:pPr>
        <w:ind w:left="3766" w:hanging="783"/>
      </w:pPr>
      <w:rPr>
        <w:rFonts w:hint="default"/>
        <w:lang w:val="zh-CN" w:eastAsia="zh-CN" w:bidi="zh-CN"/>
      </w:rPr>
    </w:lvl>
    <w:lvl w:ilvl="5">
      <w:start w:val="0"/>
      <w:numFmt w:val="bullet"/>
      <w:lvlText w:val="•"/>
      <w:lvlJc w:val="left"/>
      <w:pPr>
        <w:ind w:left="4683" w:hanging="783"/>
      </w:pPr>
      <w:rPr>
        <w:rFonts w:hint="default"/>
        <w:lang w:val="zh-CN" w:eastAsia="zh-CN" w:bidi="zh-CN"/>
      </w:rPr>
    </w:lvl>
    <w:lvl w:ilvl="6">
      <w:start w:val="0"/>
      <w:numFmt w:val="bullet"/>
      <w:lvlText w:val="•"/>
      <w:lvlJc w:val="left"/>
      <w:pPr>
        <w:ind w:left="5599" w:hanging="783"/>
      </w:pPr>
      <w:rPr>
        <w:rFonts w:hint="default"/>
        <w:lang w:val="zh-CN" w:eastAsia="zh-CN" w:bidi="zh-CN"/>
      </w:rPr>
    </w:lvl>
    <w:lvl w:ilvl="7">
      <w:start w:val="0"/>
      <w:numFmt w:val="bullet"/>
      <w:lvlText w:val="•"/>
      <w:lvlJc w:val="left"/>
      <w:pPr>
        <w:ind w:left="6516" w:hanging="783"/>
      </w:pPr>
      <w:rPr>
        <w:rFonts w:hint="default"/>
        <w:lang w:val="zh-CN" w:eastAsia="zh-CN" w:bidi="zh-CN"/>
      </w:rPr>
    </w:lvl>
    <w:lvl w:ilvl="8">
      <w:start w:val="0"/>
      <w:numFmt w:val="bullet"/>
      <w:lvlText w:val="•"/>
      <w:lvlJc w:val="left"/>
      <w:pPr>
        <w:ind w:left="7433" w:hanging="783"/>
      </w:pPr>
      <w:rPr>
        <w:rFonts w:hint="default"/>
        <w:lang w:val="zh-CN" w:eastAsia="zh-CN" w:bidi="zh-CN"/>
      </w:rPr>
    </w:lvl>
  </w:abstractNum>
  <w:abstractNum w:abstractNumId="5">
    <w:multiLevelType w:val="hybridMultilevel"/>
    <w:lvl w:ilvl="0">
      <w:start w:val="1"/>
      <w:numFmt w:val="decimal"/>
      <w:lvlText w:val="%1."/>
      <w:lvlJc w:val="left"/>
      <w:pPr>
        <w:ind w:left="1071" w:hanging="322"/>
        <w:jc w:val="left"/>
      </w:pPr>
      <w:rPr>
        <w:rFonts w:hint="default" w:ascii="仿宋_GB2312" w:hAnsi="仿宋_GB2312" w:eastAsia="仿宋_GB2312" w:cs="仿宋_GB2312"/>
        <w:b/>
        <w:bCs/>
        <w:spacing w:val="1"/>
        <w:w w:val="98"/>
        <w:sz w:val="30"/>
        <w:szCs w:val="30"/>
        <w:lang w:val="zh-CN" w:eastAsia="zh-CN" w:bidi="zh-CN"/>
      </w:rPr>
    </w:lvl>
    <w:lvl w:ilvl="1">
      <w:start w:val="2"/>
      <w:numFmt w:val="decimal"/>
      <w:lvlText w:val="%2."/>
      <w:lvlJc w:val="left"/>
      <w:pPr>
        <w:ind w:left="1866" w:hanging="203"/>
        <w:jc w:val="left"/>
      </w:pPr>
      <w:rPr>
        <w:rFonts w:hint="default" w:ascii="文星仿宋" w:hAnsi="文星仿宋" w:eastAsia="文星仿宋" w:cs="文星仿宋"/>
        <w:w w:val="99"/>
        <w:sz w:val="30"/>
        <w:szCs w:val="30"/>
        <w:lang w:val="zh-CN" w:eastAsia="zh-CN" w:bidi="zh-CN"/>
      </w:rPr>
    </w:lvl>
    <w:lvl w:ilvl="2">
      <w:start w:val="0"/>
      <w:numFmt w:val="bullet"/>
      <w:lvlText w:val="•"/>
      <w:lvlJc w:val="left"/>
      <w:pPr>
        <w:ind w:left="2682" w:hanging="203"/>
      </w:pPr>
      <w:rPr>
        <w:rFonts w:hint="default"/>
        <w:lang w:val="zh-CN" w:eastAsia="zh-CN" w:bidi="zh-CN"/>
      </w:rPr>
    </w:lvl>
    <w:lvl w:ilvl="3">
      <w:start w:val="0"/>
      <w:numFmt w:val="bullet"/>
      <w:lvlText w:val="•"/>
      <w:lvlJc w:val="left"/>
      <w:pPr>
        <w:ind w:left="3505" w:hanging="203"/>
      </w:pPr>
      <w:rPr>
        <w:rFonts w:hint="default"/>
        <w:lang w:val="zh-CN" w:eastAsia="zh-CN" w:bidi="zh-CN"/>
      </w:rPr>
    </w:lvl>
    <w:lvl w:ilvl="4">
      <w:start w:val="0"/>
      <w:numFmt w:val="bullet"/>
      <w:lvlText w:val="•"/>
      <w:lvlJc w:val="left"/>
      <w:pPr>
        <w:ind w:left="4328" w:hanging="203"/>
      </w:pPr>
      <w:rPr>
        <w:rFonts w:hint="default"/>
        <w:lang w:val="zh-CN" w:eastAsia="zh-CN" w:bidi="zh-CN"/>
      </w:rPr>
    </w:lvl>
    <w:lvl w:ilvl="5">
      <w:start w:val="0"/>
      <w:numFmt w:val="bullet"/>
      <w:lvlText w:val="•"/>
      <w:lvlJc w:val="left"/>
      <w:pPr>
        <w:ind w:left="5151" w:hanging="203"/>
      </w:pPr>
      <w:rPr>
        <w:rFonts w:hint="default"/>
        <w:lang w:val="zh-CN" w:eastAsia="zh-CN" w:bidi="zh-CN"/>
      </w:rPr>
    </w:lvl>
    <w:lvl w:ilvl="6">
      <w:start w:val="0"/>
      <w:numFmt w:val="bullet"/>
      <w:lvlText w:val="•"/>
      <w:lvlJc w:val="left"/>
      <w:pPr>
        <w:ind w:left="5974" w:hanging="203"/>
      </w:pPr>
      <w:rPr>
        <w:rFonts w:hint="default"/>
        <w:lang w:val="zh-CN" w:eastAsia="zh-CN" w:bidi="zh-CN"/>
      </w:rPr>
    </w:lvl>
    <w:lvl w:ilvl="7">
      <w:start w:val="0"/>
      <w:numFmt w:val="bullet"/>
      <w:lvlText w:val="•"/>
      <w:lvlJc w:val="left"/>
      <w:pPr>
        <w:ind w:left="6797" w:hanging="203"/>
      </w:pPr>
      <w:rPr>
        <w:rFonts w:hint="default"/>
        <w:lang w:val="zh-CN" w:eastAsia="zh-CN" w:bidi="zh-CN"/>
      </w:rPr>
    </w:lvl>
    <w:lvl w:ilvl="8">
      <w:start w:val="0"/>
      <w:numFmt w:val="bullet"/>
      <w:lvlText w:val="•"/>
      <w:lvlJc w:val="left"/>
      <w:pPr>
        <w:ind w:left="7620" w:hanging="203"/>
      </w:pPr>
      <w:rPr>
        <w:rFonts w:hint="default"/>
        <w:lang w:val="zh-CN" w:eastAsia="zh-CN" w:bidi="zh-CN"/>
      </w:rPr>
    </w:lvl>
  </w:abstractNum>
  <w:abstractNum w:abstractNumId="4">
    <w:multiLevelType w:val="hybridMultilevel"/>
    <w:lvl w:ilvl="0">
      <w:start w:val="1"/>
      <w:numFmt w:val="decimal"/>
      <w:lvlText w:val="（%1）"/>
      <w:lvlJc w:val="left"/>
      <w:pPr>
        <w:ind w:left="106" w:hanging="785"/>
        <w:jc w:val="left"/>
      </w:pPr>
      <w:rPr>
        <w:rFonts w:hint="default" w:ascii="文星仿宋" w:hAnsi="文星仿宋" w:eastAsia="文星仿宋" w:cs="文星仿宋"/>
        <w:spacing w:val="4"/>
        <w:w w:val="99"/>
        <w:sz w:val="30"/>
        <w:szCs w:val="30"/>
        <w:lang w:val="zh-CN" w:eastAsia="zh-CN" w:bidi="zh-CN"/>
      </w:rPr>
    </w:lvl>
    <w:lvl w:ilvl="1">
      <w:start w:val="0"/>
      <w:numFmt w:val="bullet"/>
      <w:lvlText w:val="•"/>
      <w:lvlJc w:val="left"/>
      <w:pPr>
        <w:ind w:left="1016" w:hanging="785"/>
      </w:pPr>
      <w:rPr>
        <w:rFonts w:hint="default"/>
        <w:lang w:val="zh-CN" w:eastAsia="zh-CN" w:bidi="zh-CN"/>
      </w:rPr>
    </w:lvl>
    <w:lvl w:ilvl="2">
      <w:start w:val="0"/>
      <w:numFmt w:val="bullet"/>
      <w:lvlText w:val="•"/>
      <w:lvlJc w:val="left"/>
      <w:pPr>
        <w:ind w:left="1933" w:hanging="785"/>
      </w:pPr>
      <w:rPr>
        <w:rFonts w:hint="default"/>
        <w:lang w:val="zh-CN" w:eastAsia="zh-CN" w:bidi="zh-CN"/>
      </w:rPr>
    </w:lvl>
    <w:lvl w:ilvl="3">
      <w:start w:val="0"/>
      <w:numFmt w:val="bullet"/>
      <w:lvlText w:val="•"/>
      <w:lvlJc w:val="left"/>
      <w:pPr>
        <w:ind w:left="2849" w:hanging="785"/>
      </w:pPr>
      <w:rPr>
        <w:rFonts w:hint="default"/>
        <w:lang w:val="zh-CN" w:eastAsia="zh-CN" w:bidi="zh-CN"/>
      </w:rPr>
    </w:lvl>
    <w:lvl w:ilvl="4">
      <w:start w:val="0"/>
      <w:numFmt w:val="bullet"/>
      <w:lvlText w:val="•"/>
      <w:lvlJc w:val="left"/>
      <w:pPr>
        <w:ind w:left="3766" w:hanging="785"/>
      </w:pPr>
      <w:rPr>
        <w:rFonts w:hint="default"/>
        <w:lang w:val="zh-CN" w:eastAsia="zh-CN" w:bidi="zh-CN"/>
      </w:rPr>
    </w:lvl>
    <w:lvl w:ilvl="5">
      <w:start w:val="0"/>
      <w:numFmt w:val="bullet"/>
      <w:lvlText w:val="•"/>
      <w:lvlJc w:val="left"/>
      <w:pPr>
        <w:ind w:left="4683" w:hanging="785"/>
      </w:pPr>
      <w:rPr>
        <w:rFonts w:hint="default"/>
        <w:lang w:val="zh-CN" w:eastAsia="zh-CN" w:bidi="zh-CN"/>
      </w:rPr>
    </w:lvl>
    <w:lvl w:ilvl="6">
      <w:start w:val="0"/>
      <w:numFmt w:val="bullet"/>
      <w:lvlText w:val="•"/>
      <w:lvlJc w:val="left"/>
      <w:pPr>
        <w:ind w:left="5599" w:hanging="785"/>
      </w:pPr>
      <w:rPr>
        <w:rFonts w:hint="default"/>
        <w:lang w:val="zh-CN" w:eastAsia="zh-CN" w:bidi="zh-CN"/>
      </w:rPr>
    </w:lvl>
    <w:lvl w:ilvl="7">
      <w:start w:val="0"/>
      <w:numFmt w:val="bullet"/>
      <w:lvlText w:val="•"/>
      <w:lvlJc w:val="left"/>
      <w:pPr>
        <w:ind w:left="6516" w:hanging="785"/>
      </w:pPr>
      <w:rPr>
        <w:rFonts w:hint="default"/>
        <w:lang w:val="zh-CN" w:eastAsia="zh-CN" w:bidi="zh-CN"/>
      </w:rPr>
    </w:lvl>
    <w:lvl w:ilvl="8">
      <w:start w:val="0"/>
      <w:numFmt w:val="bullet"/>
      <w:lvlText w:val="•"/>
      <w:lvlJc w:val="left"/>
      <w:pPr>
        <w:ind w:left="7433" w:hanging="785"/>
      </w:pPr>
      <w:rPr>
        <w:rFonts w:hint="default"/>
        <w:lang w:val="zh-CN" w:eastAsia="zh-CN" w:bidi="zh-CN"/>
      </w:rPr>
    </w:lvl>
  </w:abstractNum>
  <w:abstractNum w:abstractNumId="3">
    <w:multiLevelType w:val="hybridMultilevel"/>
    <w:lvl w:ilvl="0">
      <w:start w:val="1"/>
      <w:numFmt w:val="decimal"/>
      <w:lvlText w:val="%1."/>
      <w:lvlJc w:val="left"/>
      <w:pPr>
        <w:ind w:left="106" w:hanging="179"/>
        <w:jc w:val="left"/>
      </w:pPr>
      <w:rPr>
        <w:rFonts w:hint="default" w:ascii="文星仿宋" w:hAnsi="文星仿宋" w:eastAsia="文星仿宋" w:cs="文星仿宋"/>
        <w:spacing w:val="-1"/>
        <w:w w:val="99"/>
        <w:sz w:val="30"/>
        <w:szCs w:val="30"/>
        <w:lang w:val="zh-CN" w:eastAsia="zh-CN" w:bidi="zh-CN"/>
      </w:rPr>
    </w:lvl>
    <w:lvl w:ilvl="1">
      <w:start w:val="0"/>
      <w:numFmt w:val="bullet"/>
      <w:lvlText w:val="•"/>
      <w:lvlJc w:val="left"/>
      <w:pPr>
        <w:ind w:left="1016" w:hanging="179"/>
      </w:pPr>
      <w:rPr>
        <w:rFonts w:hint="default"/>
        <w:lang w:val="zh-CN" w:eastAsia="zh-CN" w:bidi="zh-CN"/>
      </w:rPr>
    </w:lvl>
    <w:lvl w:ilvl="2">
      <w:start w:val="0"/>
      <w:numFmt w:val="bullet"/>
      <w:lvlText w:val="•"/>
      <w:lvlJc w:val="left"/>
      <w:pPr>
        <w:ind w:left="1933" w:hanging="179"/>
      </w:pPr>
      <w:rPr>
        <w:rFonts w:hint="default"/>
        <w:lang w:val="zh-CN" w:eastAsia="zh-CN" w:bidi="zh-CN"/>
      </w:rPr>
    </w:lvl>
    <w:lvl w:ilvl="3">
      <w:start w:val="0"/>
      <w:numFmt w:val="bullet"/>
      <w:lvlText w:val="•"/>
      <w:lvlJc w:val="left"/>
      <w:pPr>
        <w:ind w:left="2849" w:hanging="179"/>
      </w:pPr>
      <w:rPr>
        <w:rFonts w:hint="default"/>
        <w:lang w:val="zh-CN" w:eastAsia="zh-CN" w:bidi="zh-CN"/>
      </w:rPr>
    </w:lvl>
    <w:lvl w:ilvl="4">
      <w:start w:val="0"/>
      <w:numFmt w:val="bullet"/>
      <w:lvlText w:val="•"/>
      <w:lvlJc w:val="left"/>
      <w:pPr>
        <w:ind w:left="3766" w:hanging="179"/>
      </w:pPr>
      <w:rPr>
        <w:rFonts w:hint="default"/>
        <w:lang w:val="zh-CN" w:eastAsia="zh-CN" w:bidi="zh-CN"/>
      </w:rPr>
    </w:lvl>
    <w:lvl w:ilvl="5">
      <w:start w:val="0"/>
      <w:numFmt w:val="bullet"/>
      <w:lvlText w:val="•"/>
      <w:lvlJc w:val="left"/>
      <w:pPr>
        <w:ind w:left="4683" w:hanging="179"/>
      </w:pPr>
      <w:rPr>
        <w:rFonts w:hint="default"/>
        <w:lang w:val="zh-CN" w:eastAsia="zh-CN" w:bidi="zh-CN"/>
      </w:rPr>
    </w:lvl>
    <w:lvl w:ilvl="6">
      <w:start w:val="0"/>
      <w:numFmt w:val="bullet"/>
      <w:lvlText w:val="•"/>
      <w:lvlJc w:val="left"/>
      <w:pPr>
        <w:ind w:left="5599" w:hanging="179"/>
      </w:pPr>
      <w:rPr>
        <w:rFonts w:hint="default"/>
        <w:lang w:val="zh-CN" w:eastAsia="zh-CN" w:bidi="zh-CN"/>
      </w:rPr>
    </w:lvl>
    <w:lvl w:ilvl="7">
      <w:start w:val="0"/>
      <w:numFmt w:val="bullet"/>
      <w:lvlText w:val="•"/>
      <w:lvlJc w:val="left"/>
      <w:pPr>
        <w:ind w:left="6516" w:hanging="179"/>
      </w:pPr>
      <w:rPr>
        <w:rFonts w:hint="default"/>
        <w:lang w:val="zh-CN" w:eastAsia="zh-CN" w:bidi="zh-CN"/>
      </w:rPr>
    </w:lvl>
    <w:lvl w:ilvl="8">
      <w:start w:val="0"/>
      <w:numFmt w:val="bullet"/>
      <w:lvlText w:val="•"/>
      <w:lvlJc w:val="left"/>
      <w:pPr>
        <w:ind w:left="7433" w:hanging="179"/>
      </w:pPr>
      <w:rPr>
        <w:rFonts w:hint="default"/>
        <w:lang w:val="zh-CN" w:eastAsia="zh-CN" w:bidi="zh-CN"/>
      </w:rPr>
    </w:lvl>
  </w:abstractNum>
  <w:abstractNum w:abstractNumId="2">
    <w:multiLevelType w:val="hybridMultilevel"/>
    <w:lvl w:ilvl="0">
      <w:start w:val="1"/>
      <w:numFmt w:val="decimal"/>
      <w:lvlText w:val="%1."/>
      <w:lvlJc w:val="left"/>
      <w:pPr>
        <w:ind w:left="106" w:hanging="179"/>
        <w:jc w:val="left"/>
      </w:pPr>
      <w:rPr>
        <w:rFonts w:hint="default" w:ascii="文星仿宋" w:hAnsi="文星仿宋" w:eastAsia="文星仿宋" w:cs="文星仿宋"/>
        <w:spacing w:val="-1"/>
        <w:w w:val="99"/>
        <w:sz w:val="30"/>
        <w:szCs w:val="30"/>
        <w:lang w:val="zh-CN" w:eastAsia="zh-CN" w:bidi="zh-CN"/>
      </w:rPr>
    </w:lvl>
    <w:lvl w:ilvl="1">
      <w:start w:val="0"/>
      <w:numFmt w:val="bullet"/>
      <w:lvlText w:val="•"/>
      <w:lvlJc w:val="left"/>
      <w:pPr>
        <w:ind w:left="1016" w:hanging="179"/>
      </w:pPr>
      <w:rPr>
        <w:rFonts w:hint="default"/>
        <w:lang w:val="zh-CN" w:eastAsia="zh-CN" w:bidi="zh-CN"/>
      </w:rPr>
    </w:lvl>
    <w:lvl w:ilvl="2">
      <w:start w:val="0"/>
      <w:numFmt w:val="bullet"/>
      <w:lvlText w:val="•"/>
      <w:lvlJc w:val="left"/>
      <w:pPr>
        <w:ind w:left="1933" w:hanging="179"/>
      </w:pPr>
      <w:rPr>
        <w:rFonts w:hint="default"/>
        <w:lang w:val="zh-CN" w:eastAsia="zh-CN" w:bidi="zh-CN"/>
      </w:rPr>
    </w:lvl>
    <w:lvl w:ilvl="3">
      <w:start w:val="0"/>
      <w:numFmt w:val="bullet"/>
      <w:lvlText w:val="•"/>
      <w:lvlJc w:val="left"/>
      <w:pPr>
        <w:ind w:left="2849" w:hanging="179"/>
      </w:pPr>
      <w:rPr>
        <w:rFonts w:hint="default"/>
        <w:lang w:val="zh-CN" w:eastAsia="zh-CN" w:bidi="zh-CN"/>
      </w:rPr>
    </w:lvl>
    <w:lvl w:ilvl="4">
      <w:start w:val="0"/>
      <w:numFmt w:val="bullet"/>
      <w:lvlText w:val="•"/>
      <w:lvlJc w:val="left"/>
      <w:pPr>
        <w:ind w:left="3766" w:hanging="179"/>
      </w:pPr>
      <w:rPr>
        <w:rFonts w:hint="default"/>
        <w:lang w:val="zh-CN" w:eastAsia="zh-CN" w:bidi="zh-CN"/>
      </w:rPr>
    </w:lvl>
    <w:lvl w:ilvl="5">
      <w:start w:val="0"/>
      <w:numFmt w:val="bullet"/>
      <w:lvlText w:val="•"/>
      <w:lvlJc w:val="left"/>
      <w:pPr>
        <w:ind w:left="4683" w:hanging="179"/>
      </w:pPr>
      <w:rPr>
        <w:rFonts w:hint="default"/>
        <w:lang w:val="zh-CN" w:eastAsia="zh-CN" w:bidi="zh-CN"/>
      </w:rPr>
    </w:lvl>
    <w:lvl w:ilvl="6">
      <w:start w:val="0"/>
      <w:numFmt w:val="bullet"/>
      <w:lvlText w:val="•"/>
      <w:lvlJc w:val="left"/>
      <w:pPr>
        <w:ind w:left="5599" w:hanging="179"/>
      </w:pPr>
      <w:rPr>
        <w:rFonts w:hint="default"/>
        <w:lang w:val="zh-CN" w:eastAsia="zh-CN" w:bidi="zh-CN"/>
      </w:rPr>
    </w:lvl>
    <w:lvl w:ilvl="7">
      <w:start w:val="0"/>
      <w:numFmt w:val="bullet"/>
      <w:lvlText w:val="•"/>
      <w:lvlJc w:val="left"/>
      <w:pPr>
        <w:ind w:left="6516" w:hanging="179"/>
      </w:pPr>
      <w:rPr>
        <w:rFonts w:hint="default"/>
        <w:lang w:val="zh-CN" w:eastAsia="zh-CN" w:bidi="zh-CN"/>
      </w:rPr>
    </w:lvl>
    <w:lvl w:ilvl="8">
      <w:start w:val="0"/>
      <w:numFmt w:val="bullet"/>
      <w:lvlText w:val="•"/>
      <w:lvlJc w:val="left"/>
      <w:pPr>
        <w:ind w:left="7433" w:hanging="179"/>
      </w:pPr>
      <w:rPr>
        <w:rFonts w:hint="default"/>
        <w:lang w:val="zh-CN" w:eastAsia="zh-CN" w:bidi="zh-CN"/>
      </w:rPr>
    </w:lvl>
  </w:abstractNum>
  <w:abstractNum w:abstractNumId="1">
    <w:multiLevelType w:val="hybridMultilevel"/>
    <w:lvl w:ilvl="0">
      <w:start w:val="1"/>
      <w:numFmt w:val="decimal"/>
      <w:lvlText w:val="%1."/>
      <w:lvlJc w:val="left"/>
      <w:pPr>
        <w:ind w:left="106" w:hanging="322"/>
        <w:jc w:val="left"/>
      </w:pPr>
      <w:rPr>
        <w:rFonts w:hint="default" w:ascii="楷体_GB2312" w:hAnsi="楷体_GB2312" w:eastAsia="楷体_GB2312" w:cs="楷体_GB2312"/>
        <w:spacing w:val="-2"/>
        <w:w w:val="99"/>
        <w:sz w:val="30"/>
        <w:szCs w:val="30"/>
        <w:lang w:val="zh-CN" w:eastAsia="zh-CN" w:bidi="zh-CN"/>
      </w:rPr>
    </w:lvl>
    <w:lvl w:ilvl="1">
      <w:start w:val="0"/>
      <w:numFmt w:val="bullet"/>
      <w:lvlText w:val="•"/>
      <w:lvlJc w:val="left"/>
      <w:pPr>
        <w:ind w:left="1016" w:hanging="322"/>
      </w:pPr>
      <w:rPr>
        <w:rFonts w:hint="default"/>
        <w:lang w:val="zh-CN" w:eastAsia="zh-CN" w:bidi="zh-CN"/>
      </w:rPr>
    </w:lvl>
    <w:lvl w:ilvl="2">
      <w:start w:val="0"/>
      <w:numFmt w:val="bullet"/>
      <w:lvlText w:val="•"/>
      <w:lvlJc w:val="left"/>
      <w:pPr>
        <w:ind w:left="1933" w:hanging="322"/>
      </w:pPr>
      <w:rPr>
        <w:rFonts w:hint="default"/>
        <w:lang w:val="zh-CN" w:eastAsia="zh-CN" w:bidi="zh-CN"/>
      </w:rPr>
    </w:lvl>
    <w:lvl w:ilvl="3">
      <w:start w:val="0"/>
      <w:numFmt w:val="bullet"/>
      <w:lvlText w:val="•"/>
      <w:lvlJc w:val="left"/>
      <w:pPr>
        <w:ind w:left="2849" w:hanging="322"/>
      </w:pPr>
      <w:rPr>
        <w:rFonts w:hint="default"/>
        <w:lang w:val="zh-CN" w:eastAsia="zh-CN" w:bidi="zh-CN"/>
      </w:rPr>
    </w:lvl>
    <w:lvl w:ilvl="4">
      <w:start w:val="0"/>
      <w:numFmt w:val="bullet"/>
      <w:lvlText w:val="•"/>
      <w:lvlJc w:val="left"/>
      <w:pPr>
        <w:ind w:left="3766" w:hanging="322"/>
      </w:pPr>
      <w:rPr>
        <w:rFonts w:hint="default"/>
        <w:lang w:val="zh-CN" w:eastAsia="zh-CN" w:bidi="zh-CN"/>
      </w:rPr>
    </w:lvl>
    <w:lvl w:ilvl="5">
      <w:start w:val="0"/>
      <w:numFmt w:val="bullet"/>
      <w:lvlText w:val="•"/>
      <w:lvlJc w:val="left"/>
      <w:pPr>
        <w:ind w:left="4683" w:hanging="322"/>
      </w:pPr>
      <w:rPr>
        <w:rFonts w:hint="default"/>
        <w:lang w:val="zh-CN" w:eastAsia="zh-CN" w:bidi="zh-CN"/>
      </w:rPr>
    </w:lvl>
    <w:lvl w:ilvl="6">
      <w:start w:val="0"/>
      <w:numFmt w:val="bullet"/>
      <w:lvlText w:val="•"/>
      <w:lvlJc w:val="left"/>
      <w:pPr>
        <w:ind w:left="5599" w:hanging="322"/>
      </w:pPr>
      <w:rPr>
        <w:rFonts w:hint="default"/>
        <w:lang w:val="zh-CN" w:eastAsia="zh-CN" w:bidi="zh-CN"/>
      </w:rPr>
    </w:lvl>
    <w:lvl w:ilvl="7">
      <w:start w:val="0"/>
      <w:numFmt w:val="bullet"/>
      <w:lvlText w:val="•"/>
      <w:lvlJc w:val="left"/>
      <w:pPr>
        <w:ind w:left="6516" w:hanging="322"/>
      </w:pPr>
      <w:rPr>
        <w:rFonts w:hint="default"/>
        <w:lang w:val="zh-CN" w:eastAsia="zh-CN" w:bidi="zh-CN"/>
      </w:rPr>
    </w:lvl>
    <w:lvl w:ilvl="8">
      <w:start w:val="0"/>
      <w:numFmt w:val="bullet"/>
      <w:lvlText w:val="•"/>
      <w:lvlJc w:val="left"/>
      <w:pPr>
        <w:ind w:left="7433" w:hanging="322"/>
      </w:pPr>
      <w:rPr>
        <w:rFonts w:hint="default"/>
        <w:lang w:val="zh-CN" w:eastAsia="zh-CN" w:bidi="zh-CN"/>
      </w:rPr>
    </w:lvl>
  </w:abstractNum>
  <w:abstractNum w:abstractNumId="0">
    <w:multiLevelType w:val="hybridMultilevel"/>
    <w:lvl w:ilvl="0">
      <w:start w:val="1"/>
      <w:numFmt w:val="decimal"/>
      <w:lvlText w:val="%1."/>
      <w:lvlJc w:val="left"/>
      <w:pPr>
        <w:ind w:left="106" w:hanging="179"/>
        <w:jc w:val="left"/>
      </w:pPr>
      <w:rPr>
        <w:rFonts w:hint="default" w:ascii="文星仿宋" w:hAnsi="文星仿宋" w:eastAsia="文星仿宋" w:cs="文星仿宋"/>
        <w:spacing w:val="-1"/>
        <w:w w:val="99"/>
        <w:sz w:val="30"/>
        <w:szCs w:val="30"/>
        <w:lang w:val="zh-CN" w:eastAsia="zh-CN" w:bidi="zh-CN"/>
      </w:rPr>
    </w:lvl>
    <w:lvl w:ilvl="1">
      <w:start w:val="0"/>
      <w:numFmt w:val="bullet"/>
      <w:lvlText w:val="•"/>
      <w:lvlJc w:val="left"/>
      <w:pPr>
        <w:ind w:left="1016" w:hanging="179"/>
      </w:pPr>
      <w:rPr>
        <w:rFonts w:hint="default"/>
        <w:lang w:val="zh-CN" w:eastAsia="zh-CN" w:bidi="zh-CN"/>
      </w:rPr>
    </w:lvl>
    <w:lvl w:ilvl="2">
      <w:start w:val="0"/>
      <w:numFmt w:val="bullet"/>
      <w:lvlText w:val="•"/>
      <w:lvlJc w:val="left"/>
      <w:pPr>
        <w:ind w:left="1933" w:hanging="179"/>
      </w:pPr>
      <w:rPr>
        <w:rFonts w:hint="default"/>
        <w:lang w:val="zh-CN" w:eastAsia="zh-CN" w:bidi="zh-CN"/>
      </w:rPr>
    </w:lvl>
    <w:lvl w:ilvl="3">
      <w:start w:val="0"/>
      <w:numFmt w:val="bullet"/>
      <w:lvlText w:val="•"/>
      <w:lvlJc w:val="left"/>
      <w:pPr>
        <w:ind w:left="2849" w:hanging="179"/>
      </w:pPr>
      <w:rPr>
        <w:rFonts w:hint="default"/>
        <w:lang w:val="zh-CN" w:eastAsia="zh-CN" w:bidi="zh-CN"/>
      </w:rPr>
    </w:lvl>
    <w:lvl w:ilvl="4">
      <w:start w:val="0"/>
      <w:numFmt w:val="bullet"/>
      <w:lvlText w:val="•"/>
      <w:lvlJc w:val="left"/>
      <w:pPr>
        <w:ind w:left="3766" w:hanging="179"/>
      </w:pPr>
      <w:rPr>
        <w:rFonts w:hint="default"/>
        <w:lang w:val="zh-CN" w:eastAsia="zh-CN" w:bidi="zh-CN"/>
      </w:rPr>
    </w:lvl>
    <w:lvl w:ilvl="5">
      <w:start w:val="0"/>
      <w:numFmt w:val="bullet"/>
      <w:lvlText w:val="•"/>
      <w:lvlJc w:val="left"/>
      <w:pPr>
        <w:ind w:left="4683" w:hanging="179"/>
      </w:pPr>
      <w:rPr>
        <w:rFonts w:hint="default"/>
        <w:lang w:val="zh-CN" w:eastAsia="zh-CN" w:bidi="zh-CN"/>
      </w:rPr>
    </w:lvl>
    <w:lvl w:ilvl="6">
      <w:start w:val="0"/>
      <w:numFmt w:val="bullet"/>
      <w:lvlText w:val="•"/>
      <w:lvlJc w:val="left"/>
      <w:pPr>
        <w:ind w:left="5599" w:hanging="179"/>
      </w:pPr>
      <w:rPr>
        <w:rFonts w:hint="default"/>
        <w:lang w:val="zh-CN" w:eastAsia="zh-CN" w:bidi="zh-CN"/>
      </w:rPr>
    </w:lvl>
    <w:lvl w:ilvl="7">
      <w:start w:val="0"/>
      <w:numFmt w:val="bullet"/>
      <w:lvlText w:val="•"/>
      <w:lvlJc w:val="left"/>
      <w:pPr>
        <w:ind w:left="6516" w:hanging="179"/>
      </w:pPr>
      <w:rPr>
        <w:rFonts w:hint="default"/>
        <w:lang w:val="zh-CN" w:eastAsia="zh-CN" w:bidi="zh-CN"/>
      </w:rPr>
    </w:lvl>
    <w:lvl w:ilvl="8">
      <w:start w:val="0"/>
      <w:numFmt w:val="bullet"/>
      <w:lvlText w:val="•"/>
      <w:lvlJc w:val="left"/>
      <w:pPr>
        <w:ind w:left="7433" w:hanging="179"/>
      </w:pPr>
      <w:rPr>
        <w:rFonts w:hint="default"/>
        <w:lang w:val="zh-CN" w:eastAsia="zh-CN" w:bidi="zh-CN"/>
      </w:rPr>
    </w:lvl>
  </w:abstract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文星仿宋" w:hAnsi="文星仿宋" w:eastAsia="文星仿宋" w:cs="文星仿宋"/>
      <w:lang w:val="zh-CN" w:eastAsia="zh-CN" w:bidi="zh-CN"/>
    </w:rPr>
  </w:style>
  <w:style w:styleId="BodyText" w:type="paragraph">
    <w:name w:val="Body Text"/>
    <w:basedOn w:val="Normal"/>
    <w:uiPriority w:val="1"/>
    <w:qFormat/>
    <w:pPr>
      <w:spacing w:before="2"/>
    </w:pPr>
    <w:rPr>
      <w:rFonts w:ascii="文星仿宋" w:hAnsi="文星仿宋" w:eastAsia="文星仿宋" w:cs="文星仿宋"/>
      <w:sz w:val="32"/>
      <w:szCs w:val="32"/>
      <w:lang w:val="zh-CN" w:eastAsia="zh-CN" w:bidi="zh-CN"/>
    </w:rPr>
  </w:style>
  <w:style w:styleId="Heading1" w:type="paragraph">
    <w:name w:val="Heading 1"/>
    <w:basedOn w:val="Normal"/>
    <w:uiPriority w:val="1"/>
    <w:qFormat/>
    <w:pPr>
      <w:ind w:left="510" w:right="831"/>
      <w:jc w:val="center"/>
      <w:outlineLvl w:val="1"/>
    </w:pPr>
    <w:rPr>
      <w:rFonts w:ascii="方正小标宋简体" w:hAnsi="方正小标宋简体" w:eastAsia="方正小标宋简体" w:cs="方正小标宋简体"/>
      <w:sz w:val="44"/>
      <w:szCs w:val="44"/>
      <w:lang w:val="zh-CN" w:eastAsia="zh-CN" w:bidi="zh-CN"/>
    </w:rPr>
  </w:style>
  <w:style w:styleId="Heading2" w:type="paragraph">
    <w:name w:val="Heading 2"/>
    <w:basedOn w:val="Normal"/>
    <w:uiPriority w:val="1"/>
    <w:qFormat/>
    <w:pPr>
      <w:spacing w:line="693" w:lineRule="exact"/>
      <w:ind w:left="914" w:right="1146"/>
      <w:jc w:val="center"/>
      <w:outlineLvl w:val="2"/>
    </w:pPr>
    <w:rPr>
      <w:rFonts w:ascii="方正小标宋简体" w:hAnsi="方正小标宋简体" w:eastAsia="方正小标宋简体" w:cs="方正小标宋简体"/>
      <w:sz w:val="40"/>
      <w:szCs w:val="40"/>
      <w:lang w:val="zh-CN" w:eastAsia="zh-CN" w:bidi="zh-CN"/>
    </w:rPr>
  </w:style>
  <w:style w:styleId="Heading3" w:type="paragraph">
    <w:name w:val="Heading 3"/>
    <w:basedOn w:val="Normal"/>
    <w:uiPriority w:val="1"/>
    <w:qFormat/>
    <w:pPr>
      <w:spacing w:before="2"/>
      <w:ind w:left="1071" w:hanging="322"/>
      <w:outlineLvl w:val="3"/>
    </w:pPr>
    <w:rPr>
      <w:rFonts w:ascii="仿宋_GB2312" w:hAnsi="仿宋_GB2312" w:eastAsia="仿宋_GB2312" w:cs="仿宋_GB2312"/>
      <w:b/>
      <w:bCs/>
      <w:sz w:val="32"/>
      <w:szCs w:val="32"/>
      <w:lang w:val="zh-CN" w:eastAsia="zh-CN" w:bidi="zh-CN"/>
    </w:rPr>
  </w:style>
  <w:style w:styleId="ListParagraph" w:type="paragraph">
    <w:name w:val="List Paragraph"/>
    <w:basedOn w:val="Normal"/>
    <w:uiPriority w:val="1"/>
    <w:qFormat/>
    <w:pPr>
      <w:ind w:left="106" w:firstLine="640"/>
    </w:pPr>
    <w:rPr>
      <w:rFonts w:ascii="文星仿宋" w:hAnsi="文星仿宋" w:eastAsia="文星仿宋" w:cs="文星仿宋"/>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footer" Target="footer4.xm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erms:created xsi:type="dcterms:W3CDTF">2021-01-03T08:50:08Z</dcterms:created>
  <dcterms:modified xsi:type="dcterms:W3CDTF">2021-01-03T08:50:08Z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2019-11-06T00:00:00Z</vt:filetime>
  </property>
  <property fmtid="{D5CDD505-2E9C-101B-9397-08002B2CF9AE}" pid="3" name="Creator">
    <vt:lpwstr>Microsoft® Office Word 2007</vt:lpwstr>
  </property>
  <property fmtid="{D5CDD505-2E9C-101B-9397-08002B2CF9AE}" pid="4" name="LastSaved">
    <vt:filetime>2021-01-03T00:00:00Z</vt:filetime>
  </property>
</Properties>
</file>