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22"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17"/>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22</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4</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footerReference r:id="rId5" w:type="default"/>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6"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eastAsia" w:ascii="文星仿宋" w:hAnsi="Times New Roman" w:eastAsia="文星仿宋" w:cs="Times New Roman"/>
          <w:spacing w:val="-6"/>
          <w:sz w:val="24"/>
          <w:szCs w:val="24"/>
        </w:rPr>
      </w:pPr>
      <w:r>
        <w:rPr>
          <w:rFonts w:hint="eastAsia" w:ascii="文星仿宋" w:hAnsi="Times New Roman" w:eastAsia="文星仿宋" w:cs="Times New Roman"/>
          <w:spacing w:val="-6"/>
          <w:sz w:val="24"/>
          <w:szCs w:val="24"/>
          <w:lang w:eastAsia="zh-CN"/>
        </w:rPr>
        <w:t>郯城县人民政府关于印发《郯城县“十四五”推进农业农村现代化规划》的通知（郯政字〔2022〕51号）</w:t>
      </w:r>
      <w:r>
        <w:rPr>
          <w:rFonts w:hint="eastAsia" w:ascii="文星仿宋" w:eastAsia="文星仿宋"/>
          <w:sz w:val="24"/>
          <w:szCs w:val="24"/>
          <w:lang w:val="en-US" w:eastAsia="zh-CN"/>
        </w:rPr>
        <w:tab/>
      </w:r>
      <w:r>
        <w:rPr>
          <w:rFonts w:hint="eastAsia" w:ascii="文星仿宋" w:hAnsi="Times New Roman" w:eastAsia="文星仿宋" w:cs="Times New Roman"/>
          <w:spacing w:val="-6"/>
          <w:sz w:val="24"/>
          <w:szCs w:val="24"/>
          <w:lang w:val="en-US" w:eastAsia="zh-CN"/>
        </w:rPr>
        <w:t>2</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eastAsia" w:ascii="文星仿宋" w:hAnsi="Times New Roman" w:eastAsia="文星仿宋" w:cs="Times New Roman"/>
          <w:spacing w:val="-6"/>
          <w:sz w:val="24"/>
          <w:szCs w:val="24"/>
        </w:rPr>
        <w:t>郯城县人民政府关于印发《郯城县突发事件总体应急预案》的通知</w:t>
      </w:r>
      <w:r>
        <w:rPr>
          <w:rFonts w:hint="eastAsia" w:ascii="文星仿宋" w:hAnsi="Times New Roman" w:eastAsia="文星仿宋" w:cs="Times New Roman"/>
          <w:spacing w:val="-6"/>
          <w:sz w:val="24"/>
          <w:szCs w:val="24"/>
          <w:lang w:eastAsia="zh-CN"/>
        </w:rPr>
        <w:t>（</w:t>
      </w:r>
      <w:r>
        <w:rPr>
          <w:rFonts w:hint="eastAsia" w:ascii="文星仿宋" w:hAnsi="Times New Roman" w:eastAsia="文星仿宋" w:cs="Times New Roman"/>
          <w:spacing w:val="-6"/>
          <w:sz w:val="24"/>
          <w:szCs w:val="24"/>
        </w:rPr>
        <w:t>郯政发〔2022〕7号</w:t>
      </w:r>
      <w:r>
        <w:rPr>
          <w:rFonts w:hint="eastAsia" w:ascii="文星仿宋" w:eastAsia="文星仿宋"/>
          <w:spacing w:val="-6"/>
          <w:sz w:val="24"/>
          <w:szCs w:val="24"/>
          <w:lang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44</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郯城县人民政府关于给予县公安局宋国良等3名同志嘉奖的决定</w:t>
      </w:r>
      <w:r>
        <w:rPr>
          <w:rFonts w:hint="eastAsia" w:ascii="文星仿宋" w:hAnsi="Times New Roman" w:eastAsia="文星仿宋" w:cs="Times New Roman"/>
          <w:spacing w:val="-6"/>
          <w:sz w:val="24"/>
          <w:szCs w:val="24"/>
          <w:lang w:val="en-US" w:eastAsia="zh-CN"/>
        </w:rPr>
        <w:t>（</w:t>
      </w:r>
      <w:r>
        <w:rPr>
          <w:rFonts w:hint="default" w:ascii="文星仿宋" w:hAnsi="Times New Roman" w:eastAsia="文星仿宋" w:cs="Times New Roman"/>
          <w:spacing w:val="-6"/>
          <w:sz w:val="24"/>
          <w:szCs w:val="24"/>
          <w:lang w:val="en-US" w:eastAsia="zh-CN"/>
        </w:rPr>
        <w:t>郯政字〔2022〕54号</w:t>
      </w:r>
      <w:r>
        <w:rPr>
          <w:rFonts w:hint="eastAsia" w:ascii="文星仿宋" w:hAnsi="Times New Roman" w:eastAsia="文星仿宋" w:cs="Times New Roman"/>
          <w:spacing w:val="-6"/>
          <w:sz w:val="24"/>
          <w:szCs w:val="24"/>
          <w:lang w:val="en-US"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84</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郯城县人民政府办公室关于调整2022年度县政府重大行政决策事项目录的通知</w:t>
      </w:r>
      <w:r>
        <w:rPr>
          <w:rFonts w:hint="eastAsia" w:ascii="文星仿宋" w:hAnsi="Times New Roman" w:eastAsia="文星仿宋" w:cs="Times New Roman"/>
          <w:spacing w:val="-6"/>
          <w:sz w:val="24"/>
          <w:szCs w:val="24"/>
          <w:lang w:val="en-US" w:eastAsia="zh-CN"/>
        </w:rPr>
        <w:t>（</w:t>
      </w:r>
      <w:r>
        <w:rPr>
          <w:rFonts w:hint="default" w:ascii="文星仿宋" w:hAnsi="Times New Roman" w:eastAsia="文星仿宋" w:cs="Times New Roman"/>
          <w:spacing w:val="-6"/>
          <w:sz w:val="24"/>
          <w:szCs w:val="24"/>
          <w:lang w:val="en-US" w:eastAsia="zh-CN"/>
        </w:rPr>
        <w:t>郯政发〔2022〕9号</w:t>
      </w:r>
      <w:r>
        <w:rPr>
          <w:rFonts w:hint="eastAsia" w:ascii="文星仿宋" w:hAnsi="Times New Roman" w:eastAsia="文星仿宋" w:cs="Times New Roman"/>
          <w:spacing w:val="-6"/>
          <w:sz w:val="24"/>
          <w:szCs w:val="24"/>
          <w:lang w:val="en-US"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86</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default" w:ascii="文星仿宋" w:hAnsi="Times New Roman" w:eastAsia="文星仿宋" w:cs="Times New Roman"/>
          <w:spacing w:val="-6"/>
          <w:sz w:val="24"/>
          <w:szCs w:val="24"/>
          <w:lang w:val="en-US" w:eastAsia="zh-CN"/>
        </w:rPr>
        <w:t>郯城县人民政府关于郯城县城区部分道路命名、更名的批复</w:t>
      </w:r>
      <w:r>
        <w:rPr>
          <w:rFonts w:hint="eastAsia" w:ascii="文星仿宋" w:hAnsi="Times New Roman" w:eastAsia="文星仿宋" w:cs="Times New Roman"/>
          <w:spacing w:val="-6"/>
          <w:sz w:val="24"/>
          <w:szCs w:val="24"/>
          <w:lang w:val="en-US" w:eastAsia="zh-CN"/>
        </w:rPr>
        <w:t>（</w:t>
      </w:r>
      <w:r>
        <w:rPr>
          <w:rFonts w:hint="default" w:ascii="文星仿宋" w:hAnsi="Times New Roman" w:eastAsia="文星仿宋" w:cs="Times New Roman"/>
          <w:spacing w:val="-6"/>
          <w:sz w:val="24"/>
          <w:szCs w:val="24"/>
          <w:lang w:val="en-US" w:eastAsia="zh-CN"/>
        </w:rPr>
        <w:t>郯政字〔2022〕60号</w:t>
      </w:r>
      <w:r>
        <w:rPr>
          <w:rFonts w:hint="eastAsia" w:ascii="文星仿宋" w:hAnsi="Times New Roman" w:eastAsia="文星仿宋" w:cs="Times New Roman"/>
          <w:spacing w:val="-6"/>
          <w:sz w:val="24"/>
          <w:szCs w:val="24"/>
          <w:lang w:val="en-US"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88</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黑体" w:hAnsi="黑体" w:eastAsia="黑体"/>
          <w:sz w:val="24"/>
          <w:szCs w:val="24"/>
        </w:rPr>
        <w:t>【县政府办公室文件】</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文星仿宋" w:eastAsia="文星仿宋"/>
          <w:sz w:val="24"/>
          <w:szCs w:val="24"/>
          <w:lang w:val="en-US" w:eastAsia="zh-CN"/>
        </w:rPr>
      </w:pPr>
      <w:r>
        <w:rPr>
          <w:rFonts w:hint="default" w:ascii="文星仿宋" w:hAnsi="Times New Roman" w:eastAsia="文星仿宋" w:cs="Times New Roman"/>
          <w:kern w:val="2"/>
          <w:sz w:val="24"/>
          <w:szCs w:val="24"/>
          <w:lang w:val="en-US" w:eastAsia="zh-CN" w:bidi="ar-SA"/>
        </w:rPr>
        <w:t>郯城县人民政府办公室关于成立郯城县地名管理工作领导小组的通知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郯政办字〔2022〕52号</w:t>
      </w:r>
      <w:r>
        <w:rPr>
          <w:rFonts w:hint="eastAsia" w:ascii="文星仿宋" w:hAnsi="Times New Roman" w:eastAsia="文星仿宋" w:cs="Times New Roman"/>
          <w:kern w:val="2"/>
          <w:sz w:val="24"/>
          <w:szCs w:val="24"/>
          <w:lang w:val="en-US" w:eastAsia="zh-CN" w:bidi="ar-SA"/>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91</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sectPr>
          <w:headerReference r:id="rId7" w:type="default"/>
          <w:footerReference r:id="rId8" w:type="default"/>
          <w:pgSz w:w="11910" w:h="16840"/>
          <w:pgMar w:top="1814" w:right="1587" w:bottom="1701" w:left="1587" w:header="0" w:footer="992" w:gutter="0"/>
          <w:pgNumType w:fmt="numberInDash" w:start="1"/>
          <w:cols w:space="720" w:num="1"/>
        </w:sectPr>
      </w:pPr>
      <w:r>
        <w:rPr>
          <w:rFonts w:hint="eastAsia" w:ascii="文星仿宋" w:hAnsi="Times New Roman" w:eastAsia="文星仿宋" w:cs="Times New Roman"/>
          <w:kern w:val="2"/>
          <w:sz w:val="24"/>
          <w:szCs w:val="24"/>
          <w:lang w:val="en-US" w:eastAsia="zh-CN" w:bidi="ar-SA"/>
        </w:rPr>
        <w:t>郯城县人民政府办公室关于印发《郯城县声环境功能区区划分方案》的通知（郯政办字〔2022〕54号）</w:t>
      </w:r>
      <w:r>
        <w:rPr>
          <w:rFonts w:hint="eastAsia" w:ascii="文星仿宋" w:eastAsia="文星仿宋"/>
          <w:sz w:val="24"/>
          <w:szCs w:val="24"/>
          <w:lang w:val="en-US" w:eastAsia="zh-CN"/>
        </w:rPr>
        <w:tab/>
      </w:r>
      <w:r>
        <w:rPr>
          <w:rFonts w:hint="eastAsia" w:ascii="文星仿宋" w:eastAsia="文星仿宋"/>
          <w:sz w:val="24"/>
          <w:szCs w:val="24"/>
          <w:lang w:val="en-US" w:eastAsia="zh-CN"/>
        </w:rPr>
        <w:t>93</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i w:val="0"/>
          <w:iCs w:val="0"/>
          <w:caps w:val="0"/>
          <w:color w:val="333333"/>
          <w:spacing w:val="0"/>
          <w:sz w:val="45"/>
          <w:szCs w:val="45"/>
          <w:shd w:val="clear" w:fill="FFFFFF"/>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45"/>
          <w:szCs w:val="45"/>
          <w:shd w:val="clear" w:fill="FFFFFF"/>
        </w:rPr>
      </w:pPr>
    </w:p>
    <w:p>
      <w:pPr>
        <w:pStyle w:val="1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b w:val="0"/>
          <w:bCs w:val="0"/>
          <w:i w:val="0"/>
          <w:iCs w:val="0"/>
          <w:caps w:val="0"/>
          <w:color w:val="333333"/>
          <w:spacing w:val="0"/>
          <w:sz w:val="45"/>
          <w:szCs w:val="45"/>
          <w:shd w:val="clear" w:fill="FFFFFF"/>
        </w:rPr>
      </w:pPr>
    </w:p>
    <w:p>
      <w:pPr>
        <w:pStyle w:val="1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b w:val="0"/>
          <w:bCs w:val="0"/>
          <w:i w:val="0"/>
          <w:iCs w:val="0"/>
          <w:caps w:val="0"/>
          <w:color w:val="333333"/>
          <w:spacing w:val="0"/>
          <w:sz w:val="45"/>
          <w:szCs w:val="45"/>
          <w:shd w:val="clear" w:fill="FFFFFF"/>
        </w:rPr>
      </w:pPr>
    </w:p>
    <w:p>
      <w:pPr>
        <w:pStyle w:val="1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b w:val="0"/>
          <w:bCs w:val="0"/>
          <w:i w:val="0"/>
          <w:iCs w:val="0"/>
          <w:caps w:val="0"/>
          <w:color w:val="333333"/>
          <w:spacing w:val="0"/>
          <w:sz w:val="45"/>
          <w:szCs w:val="45"/>
          <w:shd w:val="clear" w:fill="FFFFFF"/>
        </w:rPr>
      </w:pPr>
    </w:p>
    <w:p>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ascii="方正小标宋简体" w:hAnsi="方正小标宋简体" w:eastAsia="方正小标宋简体" w:cs="方正小标宋简体"/>
          <w:b w:val="0"/>
          <w:bCs w:val="0"/>
          <w:i w:val="0"/>
          <w:iCs w:val="0"/>
          <w:caps w:val="0"/>
          <w:color w:val="333333"/>
          <w:spacing w:val="0"/>
          <w:sz w:val="45"/>
          <w:szCs w:val="45"/>
          <w:shd w:val="clear" w:fill="FFFFFF"/>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郯政字〔2022〕51号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45"/>
          <w:szCs w:val="45"/>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t>郯城县人民政府</w:t>
      </w:r>
    </w:p>
    <w:p>
      <w:pPr>
        <w:overflowPunct w:val="0"/>
        <w:spacing w:line="600" w:lineRule="exact"/>
        <w:ind w:right="155"/>
        <w:jc w:val="center"/>
        <w:rPr>
          <w:rFonts w:hint="eastAsia" w:ascii="仿宋_GB2312" w:hAnsi="仿宋_GB2312" w:eastAsia="方正小标宋简体" w:cs="方正小标宋简体"/>
          <w:color w:val="000000" w:themeColor="text1"/>
          <w:sz w:val="44"/>
          <w:szCs w:val="24"/>
          <w:highlight w:val="none"/>
          <w14:textFill>
            <w14:solidFill>
              <w14:schemeClr w14:val="tx1"/>
            </w14:solidFill>
          </w14:textFill>
        </w:rPr>
      </w:pPr>
      <w:r>
        <w:rPr>
          <w:rFonts w:hint="eastAsia" w:ascii="方正小标宋简体" w:hAnsi="方正小标宋简体" w:eastAsia="方正小标宋简体" w:cs="方正小标宋简体"/>
          <w:b w:val="0"/>
          <w:bCs w:val="0"/>
          <w:i w:val="0"/>
          <w:iCs w:val="0"/>
          <w:caps w:val="0"/>
          <w:color w:val="auto"/>
          <w:spacing w:val="0"/>
          <w:sz w:val="44"/>
          <w:szCs w:val="44"/>
          <w:shd w:val="clear" w:fill="FFFFFF"/>
        </w:rPr>
        <w:t>关于</w:t>
      </w: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t>印发《</w:t>
      </w:r>
      <w:r>
        <w:rPr>
          <w:rFonts w:hint="eastAsia" w:ascii="仿宋_GB2312" w:hAnsi="仿宋_GB2312" w:eastAsia="方正小标宋简体" w:cs="方正小标宋简体"/>
          <w:color w:val="000000" w:themeColor="text1"/>
          <w:sz w:val="44"/>
          <w:szCs w:val="24"/>
          <w:highlight w:val="none"/>
          <w14:textFill>
            <w14:solidFill>
              <w14:schemeClr w14:val="tx1"/>
            </w14:solidFill>
          </w14:textFill>
        </w:rPr>
        <w:t>郯城县“十四五”推进农业农村</w:t>
      </w:r>
    </w:p>
    <w:p>
      <w:pPr>
        <w:overflowPunct w:val="0"/>
        <w:spacing w:line="600" w:lineRule="exact"/>
        <w:ind w:right="155"/>
        <w:jc w:val="center"/>
        <w:rPr>
          <w:rFonts w:hint="eastAsia" w:ascii="方正小标宋简体" w:hAnsi="方正小标宋简体" w:eastAsia="方正小标宋简体" w:cs="方正小标宋简体"/>
          <w:b w:val="0"/>
          <w:bCs w:val="0"/>
          <w:i w:val="0"/>
          <w:iCs w:val="0"/>
          <w:caps w:val="0"/>
          <w:color w:val="333333"/>
          <w:spacing w:val="0"/>
          <w:sz w:val="45"/>
          <w:szCs w:val="45"/>
          <w:shd w:val="clear" w:fill="FFFFFF"/>
        </w:rPr>
      </w:pPr>
      <w:r>
        <w:rPr>
          <w:rFonts w:hint="eastAsia" w:ascii="仿宋_GB2312" w:hAnsi="仿宋_GB2312" w:eastAsia="方正小标宋简体" w:cs="方正小标宋简体"/>
          <w:color w:val="000000" w:themeColor="text1"/>
          <w:sz w:val="44"/>
          <w:szCs w:val="24"/>
          <w:highlight w:val="none"/>
          <w14:textFill>
            <w14:solidFill>
              <w14:schemeClr w14:val="tx1"/>
            </w14:solidFill>
          </w14:textFill>
        </w:rPr>
        <w:t>现代化规划</w:t>
      </w: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t>》</w:t>
      </w:r>
      <w:r>
        <w:rPr>
          <w:rFonts w:hint="eastAsia" w:ascii="方正小标宋简体" w:hAnsi="方正小标宋简体" w:eastAsia="方正小标宋简体" w:cs="方正小标宋简体"/>
          <w:b w:val="0"/>
          <w:bCs w:val="0"/>
          <w:i w:val="0"/>
          <w:iCs w:val="0"/>
          <w:caps w:val="0"/>
          <w:color w:val="auto"/>
          <w:spacing w:val="0"/>
          <w:sz w:val="44"/>
          <w:szCs w:val="44"/>
          <w:shd w:val="clear" w:fill="FFFFFF"/>
        </w:rPr>
        <w:t>的通知</w:t>
      </w:r>
    </w:p>
    <w:p>
      <w:pPr>
        <w:keepNext w:val="0"/>
        <w:keepLines w:val="0"/>
        <w:pageBreakBefore w:val="0"/>
        <w:widowControl w:val="0"/>
        <w:kinsoku/>
        <w:topLinePunct w:val="0"/>
        <w:autoSpaceDE/>
        <w:autoSpaceDN/>
        <w:bidi w:val="0"/>
        <w:spacing w:line="600" w:lineRule="exact"/>
        <w:textAlignment w:val="auto"/>
        <w:rPr>
          <w:rFonts w:hint="eastAsia" w:ascii="仿宋_GB2312" w:hAnsi="仿宋_GB2312" w:eastAsia="方正小标宋简体" w:cs="方正小标宋简体"/>
          <w:color w:val="000000" w:themeColor="text1"/>
          <w:sz w:val="44"/>
          <w:szCs w:val="24"/>
          <w:highlight w:val="none"/>
          <w14:textFill>
            <w14:solidFill>
              <w14:schemeClr w14:val="tx1"/>
            </w14:solidFill>
          </w14:textFill>
        </w:rPr>
      </w:pPr>
    </w:p>
    <w:p>
      <w:pPr>
        <w:keepNext w:val="0"/>
        <w:keepLines w:val="0"/>
        <w:pageBreakBefore w:val="0"/>
        <w:widowControl w:val="0"/>
        <w:kinsoku/>
        <w:topLinePunct w:val="0"/>
        <w:autoSpaceDE/>
        <w:autoSpaceDN/>
        <w:bidi w:val="0"/>
        <w:spacing w:line="600" w:lineRule="exac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各乡镇人民政府、郯城街道办事处，县直有关部门单位，新村银杏产业开发区管委会：</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《郯城县“十四五”推进农业农村现代化规划》</w:t>
      </w:r>
      <w:r>
        <w:rPr>
          <w:rFonts w:hint="eastAsia" w:ascii="仿宋_GB2312" w:hAnsi="仿宋_GB2312" w:eastAsia="仿宋_GB2312" w:cs="仿宋_GB2312"/>
          <w:spacing w:val="-6"/>
          <w:sz w:val="32"/>
          <w:szCs w:val="32"/>
          <w:lang w:eastAsia="zh-CN"/>
        </w:rPr>
        <w:t>已经县政府研究同意，现印发给你们，请结合实际，认真抓好贯彻落实。</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16" w:firstLineChars="200"/>
        <w:jc w:val="both"/>
        <w:textAlignment w:val="auto"/>
        <w:rPr>
          <w:rFonts w:hint="eastAsia" w:ascii="仿宋_GB2312" w:hAnsi="仿宋_GB2312" w:eastAsia="仿宋_GB2312" w:cs="仿宋_GB2312"/>
          <w:spacing w:val="-6"/>
          <w:sz w:val="32"/>
          <w:szCs w:val="32"/>
          <w:lang w:eastAsia="zh-CN"/>
        </w:rPr>
      </w:pPr>
    </w:p>
    <w:p>
      <w:pPr>
        <w:keepNext w:val="0"/>
        <w:keepLines w:val="0"/>
        <w:pageBreakBefore w:val="0"/>
        <w:widowControl w:val="0"/>
        <w:kinsoku/>
        <w:wordWrap w:val="0"/>
        <w:overflowPunct w:val="0"/>
        <w:topLinePunct w:val="0"/>
        <w:autoSpaceDE/>
        <w:autoSpaceDN/>
        <w:bidi w:val="0"/>
        <w:adjustRightInd w:val="0"/>
        <w:snapToGrid w:val="0"/>
        <w:spacing w:line="600" w:lineRule="exact"/>
        <w:ind w:firstLine="4620" w:firstLineChars="1500"/>
        <w:jc w:val="right"/>
        <w:textAlignment w:val="auto"/>
        <w:rPr>
          <w:rFonts w:hint="default"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eastAsia="zh-CN"/>
        </w:rPr>
        <w:t>郯城县人民政府</w:t>
      </w:r>
      <w:r>
        <w:rPr>
          <w:rFonts w:hint="eastAsia" w:ascii="仿宋_GB2312" w:hAnsi="仿宋_GB2312" w:eastAsia="仿宋_GB2312" w:cs="仿宋_GB2312"/>
          <w:spacing w:val="-6"/>
          <w:sz w:val="32"/>
          <w:szCs w:val="32"/>
          <w:lang w:val="en-US" w:eastAsia="zh-CN"/>
        </w:rPr>
        <w:t xml:space="preserve">    </w:t>
      </w:r>
    </w:p>
    <w:p>
      <w:pPr>
        <w:keepNext w:val="0"/>
        <w:keepLines w:val="0"/>
        <w:pageBreakBefore w:val="0"/>
        <w:widowControl w:val="0"/>
        <w:kinsoku/>
        <w:wordWrap/>
        <w:overflowPunct w:val="0"/>
        <w:topLinePunct w:val="0"/>
        <w:autoSpaceDE/>
        <w:autoSpaceDN/>
        <w:bidi w:val="0"/>
        <w:adjustRightInd w:val="0"/>
        <w:snapToGrid w:val="0"/>
        <w:spacing w:line="600" w:lineRule="exact"/>
        <w:ind w:firstLine="4928" w:firstLineChars="1600"/>
        <w:jc w:val="center"/>
        <w:textAlignment w:val="auto"/>
        <w:rPr>
          <w:rFonts w:hint="default" w:ascii="仿宋_GB2312" w:hAnsi="仿宋_GB2312" w:eastAsia="仿宋_GB2312" w:cs="仿宋_GB2312"/>
          <w:color w:val="000000"/>
          <w:sz w:val="32"/>
          <w:szCs w:val="32"/>
          <w:lang w:val="en-US"/>
        </w:rPr>
      </w:pPr>
      <w:r>
        <w:rPr>
          <w:rFonts w:hint="eastAsia" w:ascii="仿宋_GB2312" w:hAnsi="仿宋_GB2312" w:eastAsia="仿宋_GB2312" w:cs="仿宋_GB2312"/>
          <w:spacing w:val="-6"/>
          <w:sz w:val="32"/>
          <w:szCs w:val="32"/>
          <w:lang w:val="en-US" w:eastAsia="zh-CN"/>
        </w:rPr>
        <w:t xml:space="preserve">    2022年10月9日</w:t>
      </w:r>
    </w:p>
    <w:p>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sz w:val="32"/>
          <w:szCs w:val="32"/>
        </w:rPr>
        <w:t>（此件公开发布）</w:t>
      </w:r>
    </w:p>
    <w:p>
      <w:pPr>
        <w:rPr>
          <w:rFonts w:hint="eastAsia" w:ascii="仿宋_GB2312" w:hAnsi="仿宋_GB2312" w:eastAsia="方正小标宋简体" w:cs="方正小标宋简体"/>
          <w:color w:val="000000" w:themeColor="text1"/>
          <w:sz w:val="44"/>
          <w:szCs w:val="24"/>
          <w:highlight w:val="none"/>
          <w14:textFill>
            <w14:solidFill>
              <w14:schemeClr w14:val="tx1"/>
            </w14:solidFill>
          </w14:textFill>
        </w:rPr>
      </w:pPr>
      <w:r>
        <w:rPr>
          <w:rFonts w:hint="eastAsia" w:ascii="仿宋_GB2312" w:hAnsi="仿宋_GB2312" w:eastAsia="方正小标宋简体" w:cs="方正小标宋简体"/>
          <w:color w:val="000000" w:themeColor="text1"/>
          <w:sz w:val="44"/>
          <w:szCs w:val="24"/>
          <w:highlight w:val="none"/>
          <w14:textFill>
            <w14:solidFill>
              <w14:schemeClr w14:val="tx1"/>
            </w14:solidFill>
          </w14:textFill>
        </w:rPr>
        <w:br w:type="page"/>
      </w:r>
    </w:p>
    <w:p>
      <w:pPr>
        <w:overflowPunct w:val="0"/>
        <w:spacing w:line="600" w:lineRule="exact"/>
        <w:ind w:right="155"/>
        <w:jc w:val="center"/>
        <w:rPr>
          <w:rFonts w:ascii="仿宋_GB2312" w:hAnsi="仿宋_GB2312" w:eastAsia="方正小标宋简体" w:cs="方正小标宋简体"/>
          <w:color w:val="000000" w:themeColor="text1"/>
          <w:sz w:val="44"/>
          <w:szCs w:val="24"/>
          <w:highlight w:val="none"/>
          <w14:textFill>
            <w14:solidFill>
              <w14:schemeClr w14:val="tx1"/>
            </w14:solidFill>
          </w14:textFill>
        </w:rPr>
      </w:pPr>
      <w:r>
        <w:rPr>
          <w:rFonts w:hint="eastAsia" w:ascii="仿宋_GB2312" w:hAnsi="仿宋_GB2312" w:eastAsia="方正小标宋简体" w:cs="方正小标宋简体"/>
          <w:color w:val="000000" w:themeColor="text1"/>
          <w:sz w:val="44"/>
          <w:szCs w:val="24"/>
          <w:highlight w:val="none"/>
          <w14:textFill>
            <w14:solidFill>
              <w14:schemeClr w14:val="tx1"/>
            </w14:solidFill>
          </w14:textFill>
        </w:rPr>
        <w:t>郯城县“十四五”推进农业农村现代化规划</w:t>
      </w:r>
    </w:p>
    <w:p>
      <w:pPr>
        <w:overflowPunct w:val="0"/>
        <w:spacing w:line="600" w:lineRule="exact"/>
        <w:ind w:firstLine="1000" w:firstLineChars="200"/>
        <w:rPr>
          <w:rFonts w:ascii="仿宋_GB2312" w:hAnsi="仿宋_GB2312" w:eastAsia="PMingLiU" w:cs="Times New Roman"/>
          <w:color w:val="000000" w:themeColor="text1"/>
          <w:sz w:val="50"/>
          <w:szCs w:val="24"/>
          <w:highlight w:val="none"/>
          <w14:textFill>
            <w14:solidFill>
              <w14:schemeClr w14:val="tx1"/>
            </w14:solidFill>
          </w14:textFill>
        </w:rPr>
      </w:pPr>
    </w:p>
    <w:p>
      <w:pPr>
        <w:overflowPunct w:val="0"/>
        <w:spacing w:line="600" w:lineRule="exact"/>
        <w:ind w:firstLine="640" w:firstLineChars="200"/>
        <w:rPr>
          <w:rFonts w:ascii="仿宋_GB2312" w:hAnsi="仿宋_GB2312" w:eastAsia="仿宋_GB2312" w:cs="Times New Roman"/>
          <w:color w:val="000000" w:themeColor="text1"/>
          <w:sz w:val="32"/>
          <w:szCs w:val="32"/>
          <w:highlight w:val="none"/>
          <w14:textFill>
            <w14:solidFill>
              <w14:schemeClr w14:val="tx1"/>
            </w14:solidFill>
          </w14:textFill>
        </w:rPr>
      </w:pPr>
      <w:r>
        <w:rPr>
          <w:rFonts w:ascii="仿宋_GB2312" w:hAnsi="仿宋_GB2312" w:eastAsia="仿宋_GB2312" w:cs="Times New Roman"/>
          <w:color w:val="000000" w:themeColor="text1"/>
          <w:sz w:val="32"/>
          <w:szCs w:val="32"/>
          <w:highlight w:val="none"/>
          <w14:textFill>
            <w14:solidFill>
              <w14:schemeClr w14:val="tx1"/>
            </w14:solidFill>
          </w14:textFill>
        </w:rPr>
        <w:t>为加快推进我</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农业农村现代化</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全面提升农业质量效益和竞争力，提升乡村建设水平，提高群众幸福感和满意度，根据《山东省“十四五”推进农业农村现代化规划》</w:t>
      </w:r>
      <w:r>
        <w:rPr>
          <w:rFonts w:hint="eastAsia" w:ascii="仿宋_GB2312" w:hAnsi="仿宋_GB2312" w:eastAsia="仿宋_GB2312" w:cs="Times New Roman"/>
          <w:color w:val="000000" w:themeColor="text1"/>
          <w:sz w:val="32"/>
          <w:szCs w:val="32"/>
          <w:highlight w:val="none"/>
          <w14:textFill>
            <w14:solidFill>
              <w14:schemeClr w14:val="tx1"/>
            </w14:solidFill>
          </w14:textFill>
        </w:rPr>
        <w:t>《临沂市“十四五”推进农业农村现代化规划》</w:t>
      </w:r>
      <w:r>
        <w:rPr>
          <w:rFonts w:ascii="仿宋_GB2312" w:hAnsi="仿宋_GB2312" w:eastAsia="仿宋_GB2312" w:cs="Times New Roman"/>
          <w:color w:val="000000" w:themeColor="text1"/>
          <w:sz w:val="32"/>
          <w:szCs w:val="32"/>
          <w:highlight w:val="none"/>
          <w14:textFill>
            <w14:solidFill>
              <w14:schemeClr w14:val="tx1"/>
            </w14:solidFill>
          </w14:textFill>
        </w:rPr>
        <w:t>和《郯城县国民经济和社会发展第十四个五年规划和二〇三五年远景目标纲要》精神，结合我</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实际，制定本规划。</w:t>
      </w:r>
    </w:p>
    <w:p>
      <w:pPr>
        <w:overflowPunct w:val="0"/>
        <w:spacing w:line="600" w:lineRule="exact"/>
        <w:ind w:firstLine="640" w:firstLineChars="200"/>
        <w:rPr>
          <w:rFonts w:ascii="仿宋_GB2312" w:hAnsi="仿宋_GB2312" w:eastAsia="黑体" w:cs="黑体"/>
          <w:color w:val="000000" w:themeColor="text1"/>
          <w:sz w:val="32"/>
          <w:szCs w:val="24"/>
          <w:highlight w:val="none"/>
          <w14:textFill>
            <w14:solidFill>
              <w14:schemeClr w14:val="tx1"/>
            </w14:solidFill>
          </w14:textFill>
        </w:rPr>
      </w:pPr>
      <w:r>
        <w:rPr>
          <w:rFonts w:hint="eastAsia" w:ascii="仿宋_GB2312" w:hAnsi="仿宋_GB2312" w:eastAsia="黑体" w:cs="黑体"/>
          <w:color w:val="000000" w:themeColor="text1"/>
          <w:sz w:val="32"/>
          <w:szCs w:val="24"/>
          <w:highlight w:val="none"/>
          <w14:textFill>
            <w14:solidFill>
              <w14:schemeClr w14:val="tx1"/>
            </w14:solidFill>
          </w14:textFill>
        </w:rPr>
        <w:t>一、发展基础</w:t>
      </w:r>
    </w:p>
    <w:p>
      <w:pPr>
        <w:overflowPunct w:val="0"/>
        <w:spacing w:line="600" w:lineRule="exact"/>
        <w:ind w:firstLine="640" w:firstLineChars="200"/>
        <w:rPr>
          <w:rFonts w:ascii="仿宋_GB2312" w:hAnsi="仿宋_GB2312" w:eastAsia="仿宋_GB2312" w:cs="Times New Roman"/>
          <w:color w:val="000000" w:themeColor="text1"/>
          <w:sz w:val="32"/>
          <w:szCs w:val="32"/>
          <w:highlight w:val="none"/>
          <w14:textFill>
            <w14:solidFill>
              <w14:schemeClr w14:val="tx1"/>
            </w14:solidFill>
          </w14:textFill>
        </w:rPr>
      </w:pPr>
      <w:r>
        <w:rPr>
          <w:rFonts w:hint="eastAsia" w:ascii="仿宋_GB2312" w:hAnsi="仿宋_GB2312" w:eastAsia="楷体_GB2312" w:cs="楷体_GB2312"/>
          <w:color w:val="000000" w:themeColor="text1"/>
          <w:sz w:val="32"/>
          <w:szCs w:val="32"/>
          <w:highlight w:val="none"/>
          <w14:textFill>
            <w14:solidFill>
              <w14:schemeClr w14:val="tx1"/>
            </w14:solidFill>
          </w14:textFill>
        </w:rPr>
        <w:t>（一）农业农村经济总量持续稳定增长，脱贫攻坚成效显著。</w:t>
      </w:r>
      <w:r>
        <w:rPr>
          <w:rFonts w:hint="eastAsia" w:ascii="仿宋_GB2312" w:hAnsi="仿宋_GB2312" w:eastAsia="仿宋_GB2312" w:cs="Times New Roman"/>
          <w:color w:val="000000" w:themeColor="text1"/>
          <w:sz w:val="32"/>
          <w:szCs w:val="32"/>
          <w:highlight w:val="none"/>
          <w14:textFill>
            <w14:solidFill>
              <w14:schemeClr w14:val="tx1"/>
            </w14:solidFill>
          </w14:textFill>
        </w:rPr>
        <w:t>2020年，全县农林牧渔业增加值35.95亿元，比2015年增长29.04%，农村居民人均可支配收入15851元，增长22.38%，年均增长4.12%</w:t>
      </w:r>
      <w:r>
        <w:rPr>
          <w:rFonts w:ascii="仿宋_GB2312" w:hAnsi="仿宋_GB2312" w:eastAsia="仿宋_GB2312" w:cs="Times New Roman"/>
          <w:color w:val="000000" w:themeColor="text1"/>
          <w:sz w:val="32"/>
          <w:szCs w:val="32"/>
          <w:highlight w:val="none"/>
          <w14:textFill>
            <w14:solidFill>
              <w14:schemeClr w14:val="tx1"/>
            </w14:solidFill>
          </w14:textFill>
        </w:rPr>
        <w:t>。“十三五”期间，全县</w:t>
      </w:r>
      <w:r>
        <w:rPr>
          <w:rFonts w:hint="eastAsia" w:ascii="仿宋_GB2312" w:hAnsi="仿宋_GB2312" w:eastAsia="仿宋_GB2312" w:cs="Times New Roman"/>
          <w:color w:val="000000" w:themeColor="text1"/>
          <w:sz w:val="32"/>
          <w:szCs w:val="32"/>
          <w:highlight w:val="none"/>
          <w14:textFill>
            <w14:solidFill>
              <w14:schemeClr w14:val="tx1"/>
            </w14:solidFill>
          </w14:textFill>
        </w:rPr>
        <w:t>64</w:t>
      </w:r>
      <w:r>
        <w:rPr>
          <w:rFonts w:ascii="仿宋_GB2312" w:hAnsi="仿宋_GB2312" w:eastAsia="仿宋_GB2312" w:cs="Times New Roman"/>
          <w:color w:val="000000" w:themeColor="text1"/>
          <w:sz w:val="32"/>
          <w:szCs w:val="32"/>
          <w:highlight w:val="none"/>
          <w14:textFill>
            <w14:solidFill>
              <w14:schemeClr w14:val="tx1"/>
            </w14:solidFill>
          </w14:textFill>
        </w:rPr>
        <w:t>个贫困村摘帽，累计减贫</w:t>
      </w:r>
      <w:r>
        <w:rPr>
          <w:rFonts w:hint="eastAsia" w:ascii="仿宋_GB2312" w:hAnsi="仿宋_GB2312" w:eastAsia="仿宋_GB2312" w:cs="Times New Roman"/>
          <w:color w:val="000000" w:themeColor="text1"/>
          <w:sz w:val="32"/>
          <w:szCs w:val="32"/>
          <w:highlight w:val="none"/>
          <w14:textFill>
            <w14:solidFill>
              <w14:schemeClr w14:val="tx1"/>
            </w14:solidFill>
          </w14:textFill>
        </w:rPr>
        <w:t>5.2</w:t>
      </w:r>
      <w:r>
        <w:rPr>
          <w:rFonts w:ascii="仿宋_GB2312" w:hAnsi="仿宋_GB2312" w:eastAsia="仿宋_GB2312" w:cs="Times New Roman"/>
          <w:color w:val="000000" w:themeColor="text1"/>
          <w:sz w:val="32"/>
          <w:szCs w:val="32"/>
          <w:highlight w:val="none"/>
          <w14:textFill>
            <w14:solidFill>
              <w14:schemeClr w14:val="tx1"/>
            </w14:solidFill>
          </w14:textFill>
        </w:rPr>
        <w:t>万人，贫困发生率由2015年底的</w:t>
      </w:r>
      <w:r>
        <w:rPr>
          <w:rFonts w:hint="eastAsia" w:ascii="仿宋_GB2312" w:hAnsi="仿宋_GB2312" w:eastAsia="仿宋_GB2312" w:cs="Times New Roman"/>
          <w:color w:val="000000" w:themeColor="text1"/>
          <w:sz w:val="32"/>
          <w:szCs w:val="32"/>
          <w:highlight w:val="none"/>
          <w14:textFill>
            <w14:solidFill>
              <w14:schemeClr w14:val="tx1"/>
            </w14:solidFill>
          </w14:textFill>
        </w:rPr>
        <w:t>7.3</w:t>
      </w:r>
      <w:r>
        <w:rPr>
          <w:rFonts w:ascii="仿宋_GB2312" w:hAnsi="仿宋_GB2312" w:eastAsia="仿宋_GB2312" w:cs="Times New Roman"/>
          <w:color w:val="000000" w:themeColor="text1"/>
          <w:sz w:val="32"/>
          <w:szCs w:val="32"/>
          <w:highlight w:val="none"/>
          <w14:textFill>
            <w14:solidFill>
              <w14:schemeClr w14:val="tx1"/>
            </w14:solidFill>
          </w14:textFill>
        </w:rPr>
        <w:t>%到</w:t>
      </w:r>
      <w:r>
        <w:rPr>
          <w:rFonts w:hint="eastAsia" w:ascii="仿宋_GB2312" w:hAnsi="仿宋_GB2312" w:eastAsia="仿宋_GB2312" w:cs="Times New Roman"/>
          <w:color w:val="000000" w:themeColor="text1"/>
          <w:sz w:val="32"/>
          <w:szCs w:val="32"/>
          <w:highlight w:val="none"/>
          <w14:textFill>
            <w14:solidFill>
              <w14:schemeClr w14:val="tx1"/>
            </w14:solidFill>
          </w14:textFill>
        </w:rPr>
        <w:t>2018</w:t>
      </w:r>
      <w:r>
        <w:rPr>
          <w:rFonts w:ascii="仿宋_GB2312" w:hAnsi="仿宋_GB2312" w:eastAsia="仿宋_GB2312" w:cs="Times New Roman"/>
          <w:color w:val="000000" w:themeColor="text1"/>
          <w:sz w:val="32"/>
          <w:szCs w:val="32"/>
          <w:highlight w:val="none"/>
          <w14:textFill>
            <w14:solidFill>
              <w14:schemeClr w14:val="tx1"/>
            </w14:solidFill>
          </w14:textFill>
        </w:rPr>
        <w:t>年底基本“归零”</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如期全面完成脱贫任务。</w:t>
      </w:r>
    </w:p>
    <w:p>
      <w:pPr>
        <w:overflowPunct w:val="0"/>
        <w:spacing w:line="600" w:lineRule="exact"/>
        <w:ind w:firstLine="640" w:firstLineChars="200"/>
        <w:rPr>
          <w:rFonts w:ascii="仿宋_GB2312" w:hAnsi="仿宋_GB2312" w:eastAsia="仿宋_GB2312" w:cs="Times New Roman"/>
          <w:color w:val="000000" w:themeColor="text1"/>
          <w:sz w:val="32"/>
          <w:szCs w:val="32"/>
          <w:highlight w:val="none"/>
          <w14:textFill>
            <w14:solidFill>
              <w14:schemeClr w14:val="tx1"/>
            </w14:solidFill>
          </w14:textFill>
        </w:rPr>
      </w:pPr>
      <w:r>
        <w:rPr>
          <w:rFonts w:hint="eastAsia" w:ascii="仿宋_GB2312" w:hAnsi="仿宋_GB2312" w:eastAsia="楷体_GB2312" w:cs="楷体_GB2312"/>
          <w:color w:val="000000" w:themeColor="text1"/>
          <w:sz w:val="32"/>
          <w:szCs w:val="32"/>
          <w:highlight w:val="none"/>
          <w14:textFill>
            <w14:solidFill>
              <w14:schemeClr w14:val="tx1"/>
            </w14:solidFill>
          </w14:textFill>
        </w:rPr>
        <w:t>（二）农业产业结构进一步优化，农业科技装备水平显著提高。</w:t>
      </w:r>
      <w:r>
        <w:rPr>
          <w:rFonts w:ascii="仿宋_GB2312" w:hAnsi="仿宋_GB2312" w:eastAsia="仿宋_GB2312" w:cs="Times New Roman"/>
          <w:color w:val="000000" w:themeColor="text1"/>
          <w:sz w:val="32"/>
          <w:szCs w:val="32"/>
          <w:highlight w:val="none"/>
          <w14:textFill>
            <w14:solidFill>
              <w14:schemeClr w14:val="tx1"/>
            </w14:solidFill>
          </w14:textFill>
        </w:rPr>
        <w:t>“十三五”期间，深入实施“藏粮于地、藏粮于技”战略，强化良种良法等配套技术推广，累计建成高标准农田</w:t>
      </w:r>
      <w:r>
        <w:rPr>
          <w:rFonts w:hint="eastAsia" w:ascii="仿宋_GB2312" w:hAnsi="仿宋_GB2312" w:eastAsia="仿宋_GB2312" w:cs="Times New Roman"/>
          <w:color w:val="000000" w:themeColor="text1"/>
          <w:sz w:val="32"/>
          <w:szCs w:val="32"/>
          <w:highlight w:val="none"/>
          <w14:textFill>
            <w14:solidFill>
              <w14:schemeClr w14:val="tx1"/>
            </w14:solidFill>
          </w14:textFill>
        </w:rPr>
        <w:t>66.48</w:t>
      </w:r>
      <w:r>
        <w:rPr>
          <w:rFonts w:ascii="仿宋_GB2312" w:hAnsi="仿宋_GB2312" w:eastAsia="仿宋_GB2312" w:cs="Times New Roman"/>
          <w:color w:val="000000" w:themeColor="text1"/>
          <w:sz w:val="32"/>
          <w:szCs w:val="32"/>
          <w:highlight w:val="none"/>
          <w14:textFill>
            <w14:solidFill>
              <w14:schemeClr w14:val="tx1"/>
            </w14:solidFill>
          </w14:textFill>
        </w:rPr>
        <w:t>万亩</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划定粮食生产功能区</w:t>
      </w:r>
      <w:r>
        <w:rPr>
          <w:rFonts w:hint="eastAsia" w:ascii="仿宋_GB2312" w:hAnsi="仿宋_GB2312" w:eastAsia="仿宋_GB2312" w:cs="Times New Roman"/>
          <w:color w:val="000000" w:themeColor="text1"/>
          <w:sz w:val="32"/>
          <w:szCs w:val="32"/>
          <w:highlight w:val="none"/>
          <w14:textFill>
            <w14:solidFill>
              <w14:schemeClr w14:val="tx1"/>
            </w14:solidFill>
          </w14:textFill>
        </w:rPr>
        <w:t>70.29</w:t>
      </w:r>
      <w:r>
        <w:rPr>
          <w:rFonts w:ascii="仿宋_GB2312" w:hAnsi="仿宋_GB2312" w:eastAsia="仿宋_GB2312" w:cs="Times New Roman"/>
          <w:color w:val="000000" w:themeColor="text1"/>
          <w:sz w:val="32"/>
          <w:szCs w:val="32"/>
          <w:highlight w:val="none"/>
          <w14:textFill>
            <w14:solidFill>
              <w14:schemeClr w14:val="tx1"/>
            </w14:solidFill>
          </w14:textFill>
        </w:rPr>
        <w:t>万亩</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2020年粮食播种面积</w:t>
      </w:r>
      <w:r>
        <w:rPr>
          <w:rFonts w:hint="eastAsia" w:ascii="仿宋_GB2312" w:hAnsi="仿宋_GB2312" w:eastAsia="仿宋_GB2312" w:cs="Times New Roman"/>
          <w:color w:val="000000" w:themeColor="text1"/>
          <w:sz w:val="32"/>
          <w:szCs w:val="32"/>
          <w:highlight w:val="none"/>
          <w14:textFill>
            <w14:solidFill>
              <w14:schemeClr w14:val="tx1"/>
            </w14:solidFill>
          </w14:textFill>
        </w:rPr>
        <w:t>141</w:t>
      </w:r>
      <w:r>
        <w:rPr>
          <w:rFonts w:ascii="仿宋_GB2312" w:hAnsi="仿宋_GB2312" w:eastAsia="仿宋_GB2312" w:cs="Times New Roman"/>
          <w:color w:val="000000" w:themeColor="text1"/>
          <w:sz w:val="32"/>
          <w:szCs w:val="32"/>
          <w:highlight w:val="none"/>
          <w14:textFill>
            <w14:solidFill>
              <w14:schemeClr w14:val="tx1"/>
            </w14:solidFill>
          </w14:textFill>
        </w:rPr>
        <w:t>万亩</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总产</w:t>
      </w:r>
      <w:r>
        <w:rPr>
          <w:rFonts w:hint="eastAsia" w:ascii="仿宋_GB2312" w:hAnsi="仿宋_GB2312" w:eastAsia="仿宋_GB2312" w:cs="Times New Roman"/>
          <w:color w:val="000000" w:themeColor="text1"/>
          <w:sz w:val="32"/>
          <w:szCs w:val="32"/>
          <w:highlight w:val="none"/>
          <w14:textFill>
            <w14:solidFill>
              <w14:schemeClr w14:val="tx1"/>
            </w14:solidFill>
          </w14:textFill>
        </w:rPr>
        <w:t>72</w:t>
      </w:r>
      <w:r>
        <w:rPr>
          <w:rFonts w:ascii="仿宋_GB2312" w:hAnsi="仿宋_GB2312" w:eastAsia="仿宋_GB2312" w:cs="Times New Roman"/>
          <w:color w:val="000000" w:themeColor="text1"/>
          <w:sz w:val="32"/>
          <w:szCs w:val="32"/>
          <w:highlight w:val="none"/>
          <w14:textFill>
            <w14:solidFill>
              <w14:schemeClr w14:val="tx1"/>
            </w14:solidFill>
          </w14:textFill>
        </w:rPr>
        <w:t>万吨。农机研发创新和政策争取力度不断加大，农机装备研发及科技推广工作不断加强，农作物耕种收综合机械化率达</w:t>
      </w:r>
      <w:r>
        <w:rPr>
          <w:rFonts w:hint="eastAsia" w:ascii="仿宋_GB2312" w:hAnsi="仿宋_GB2312" w:eastAsia="仿宋_GB2312" w:cs="Times New Roman"/>
          <w:color w:val="000000" w:themeColor="text1"/>
          <w:sz w:val="32"/>
          <w:szCs w:val="32"/>
          <w:highlight w:val="none"/>
          <w14:textFill>
            <w14:solidFill>
              <w14:schemeClr w14:val="tx1"/>
            </w14:solidFill>
          </w14:textFill>
        </w:rPr>
        <w:t>92.5</w:t>
      </w:r>
      <w:r>
        <w:rPr>
          <w:rFonts w:ascii="仿宋_GB2312" w:hAnsi="仿宋_GB2312" w:eastAsia="仿宋_GB2312" w:cs="Times New Roman"/>
          <w:color w:val="000000" w:themeColor="text1"/>
          <w:sz w:val="32"/>
          <w:szCs w:val="32"/>
          <w:highlight w:val="none"/>
          <w14:textFill>
            <w14:solidFill>
              <w14:schemeClr w14:val="tx1"/>
            </w14:solidFill>
          </w14:textFill>
        </w:rPr>
        <w:t>%。</w:t>
      </w:r>
    </w:p>
    <w:p>
      <w:pPr>
        <w:overflowPunct w:val="0"/>
        <w:spacing w:line="600" w:lineRule="exact"/>
        <w:ind w:firstLine="640" w:firstLineChars="200"/>
        <w:rPr>
          <w:rFonts w:ascii="仿宋_GB2312" w:hAnsi="仿宋_GB2312" w:eastAsia="仿宋_GB2312" w:cs="Times New Roman"/>
          <w:color w:val="000000" w:themeColor="text1"/>
          <w:sz w:val="32"/>
          <w:szCs w:val="32"/>
          <w:highlight w:val="none"/>
          <w14:textFill>
            <w14:solidFill>
              <w14:schemeClr w14:val="tx1"/>
            </w14:solidFill>
          </w14:textFill>
        </w:rPr>
      </w:pPr>
      <w:r>
        <w:rPr>
          <w:rFonts w:hint="eastAsia" w:ascii="仿宋_GB2312" w:hAnsi="仿宋_GB2312" w:eastAsia="楷体_GB2312" w:cs="楷体_GB2312"/>
          <w:color w:val="000000" w:themeColor="text1"/>
          <w:sz w:val="32"/>
          <w:szCs w:val="32"/>
          <w:highlight w:val="none"/>
          <w14:textFill>
            <w14:solidFill>
              <w14:schemeClr w14:val="tx1"/>
            </w14:solidFill>
          </w14:textFill>
        </w:rPr>
        <w:t>（三）农业一二三产业加快融合发展，引领农业农村现代化发展。</w:t>
      </w:r>
      <w:r>
        <w:rPr>
          <w:rFonts w:ascii="仿宋_GB2312" w:hAnsi="仿宋_GB2312" w:eastAsia="仿宋_GB2312" w:cs="Times New Roman"/>
          <w:color w:val="000000" w:themeColor="text1"/>
          <w:sz w:val="32"/>
          <w:szCs w:val="32"/>
          <w:highlight w:val="none"/>
          <w14:textFill>
            <w14:solidFill>
              <w14:schemeClr w14:val="tx1"/>
            </w14:solidFill>
          </w14:textFill>
        </w:rPr>
        <w:t>“十三五”期间，不断拓展延伸农业产业链，提升价值链，加快“农业+”模式的发展。全县市级以上农业产业化重点龙头企业达41家；省级农业新六产示范主体</w:t>
      </w:r>
      <w:r>
        <w:rPr>
          <w:rFonts w:hint="eastAsia" w:ascii="仿宋_GB2312" w:hAnsi="仿宋_GB2312" w:eastAsia="仿宋_GB2312" w:cs="Times New Roman"/>
          <w:color w:val="000000" w:themeColor="text1"/>
          <w:sz w:val="32"/>
          <w:szCs w:val="32"/>
          <w:highlight w:val="none"/>
          <w14:textFill>
            <w14:solidFill>
              <w14:schemeClr w14:val="tx1"/>
            </w14:solidFill>
          </w14:textFill>
        </w:rPr>
        <w:t>3</w:t>
      </w:r>
      <w:r>
        <w:rPr>
          <w:rFonts w:ascii="仿宋_GB2312" w:hAnsi="仿宋_GB2312" w:eastAsia="仿宋_GB2312" w:cs="Times New Roman"/>
          <w:color w:val="000000" w:themeColor="text1"/>
          <w:sz w:val="32"/>
          <w:szCs w:val="32"/>
          <w:highlight w:val="none"/>
          <w14:textFill>
            <w14:solidFill>
              <w14:schemeClr w14:val="tx1"/>
            </w14:solidFill>
          </w14:textFill>
        </w:rPr>
        <w:t>个。市级以上示范农民合作社</w:t>
      </w:r>
      <w:r>
        <w:rPr>
          <w:rFonts w:hint="eastAsia" w:ascii="仿宋_GB2312" w:hAnsi="仿宋_GB2312" w:eastAsia="仿宋_GB2312" w:cs="Times New Roman"/>
          <w:color w:val="000000" w:themeColor="text1"/>
          <w:sz w:val="32"/>
          <w:szCs w:val="32"/>
          <w:highlight w:val="none"/>
          <w14:textFill>
            <w14:solidFill>
              <w14:schemeClr w14:val="tx1"/>
            </w14:solidFill>
          </w14:textFill>
        </w:rPr>
        <w:t>69</w:t>
      </w:r>
      <w:r>
        <w:rPr>
          <w:rFonts w:ascii="仿宋_GB2312" w:hAnsi="仿宋_GB2312" w:eastAsia="仿宋_GB2312" w:cs="Times New Roman"/>
          <w:color w:val="000000" w:themeColor="text1"/>
          <w:sz w:val="32"/>
          <w:szCs w:val="32"/>
          <w:highlight w:val="none"/>
          <w14:textFill>
            <w14:solidFill>
              <w14:schemeClr w14:val="tx1"/>
            </w14:solidFill>
          </w14:textFill>
        </w:rPr>
        <w:t>家、市级以上示范家庭农场达到</w:t>
      </w:r>
      <w:r>
        <w:rPr>
          <w:rFonts w:hint="eastAsia" w:ascii="仿宋_GB2312" w:hAnsi="仿宋_GB2312" w:eastAsia="仿宋_GB2312" w:cs="Times New Roman"/>
          <w:color w:val="000000" w:themeColor="text1"/>
          <w:sz w:val="32"/>
          <w:szCs w:val="32"/>
          <w:highlight w:val="none"/>
          <w14:textFill>
            <w14:solidFill>
              <w14:schemeClr w14:val="tx1"/>
            </w14:solidFill>
          </w14:textFill>
        </w:rPr>
        <w:t>38</w:t>
      </w:r>
      <w:r>
        <w:rPr>
          <w:rFonts w:ascii="仿宋_GB2312" w:hAnsi="仿宋_GB2312" w:eastAsia="仿宋_GB2312" w:cs="Times New Roman"/>
          <w:color w:val="000000" w:themeColor="text1"/>
          <w:sz w:val="32"/>
          <w:szCs w:val="32"/>
          <w:highlight w:val="none"/>
          <w14:textFill>
            <w14:solidFill>
              <w14:schemeClr w14:val="tx1"/>
            </w14:solidFill>
          </w14:textFill>
        </w:rPr>
        <w:t>家。全</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拥有省级以上农业旅游示范点</w:t>
      </w:r>
      <w:r>
        <w:rPr>
          <w:rFonts w:hint="eastAsia" w:ascii="仿宋_GB2312" w:hAnsi="仿宋_GB2312" w:eastAsia="仿宋_GB2312" w:cs="Times New Roman"/>
          <w:color w:val="000000" w:themeColor="text1"/>
          <w:sz w:val="32"/>
          <w:szCs w:val="32"/>
          <w:highlight w:val="none"/>
          <w14:textFill>
            <w14:solidFill>
              <w14:schemeClr w14:val="tx1"/>
            </w14:solidFill>
          </w14:textFill>
        </w:rPr>
        <w:t>2</w:t>
      </w:r>
      <w:r>
        <w:rPr>
          <w:rFonts w:ascii="仿宋_GB2312" w:hAnsi="仿宋_GB2312" w:eastAsia="仿宋_GB2312" w:cs="Times New Roman"/>
          <w:color w:val="000000" w:themeColor="text1"/>
          <w:sz w:val="32"/>
          <w:szCs w:val="32"/>
          <w:highlight w:val="none"/>
          <w14:textFill>
            <w14:solidFill>
              <w14:schemeClr w14:val="tx1"/>
            </w14:solidFill>
          </w14:textFill>
        </w:rPr>
        <w:t>个、省级旅游强镇</w:t>
      </w:r>
      <w:r>
        <w:rPr>
          <w:rFonts w:hint="eastAsia" w:ascii="仿宋_GB2312" w:hAnsi="仿宋_GB2312" w:eastAsia="仿宋_GB2312" w:cs="Times New Roman"/>
          <w:color w:val="000000" w:themeColor="text1"/>
          <w:sz w:val="32"/>
          <w:szCs w:val="32"/>
          <w:highlight w:val="none"/>
          <w14:textFill>
            <w14:solidFill>
              <w14:schemeClr w14:val="tx1"/>
            </w14:solidFill>
          </w14:textFill>
        </w:rPr>
        <w:t>2</w:t>
      </w:r>
      <w:r>
        <w:rPr>
          <w:rFonts w:ascii="仿宋_GB2312" w:hAnsi="仿宋_GB2312" w:eastAsia="仿宋_GB2312" w:cs="Times New Roman"/>
          <w:color w:val="000000" w:themeColor="text1"/>
          <w:sz w:val="32"/>
          <w:szCs w:val="32"/>
          <w:highlight w:val="none"/>
          <w14:textFill>
            <w14:solidFill>
              <w14:schemeClr w14:val="tx1"/>
            </w14:solidFill>
          </w14:textFill>
        </w:rPr>
        <w:t>个、</w:t>
      </w:r>
      <w:r>
        <w:rPr>
          <w:rFonts w:hint="eastAsia" w:ascii="仿宋_GB2312" w:hAnsi="仿宋_GB2312" w:eastAsia="仿宋_GB2312" w:cs="Times New Roman"/>
          <w:color w:val="000000" w:themeColor="text1"/>
          <w:sz w:val="32"/>
          <w:szCs w:val="32"/>
          <w:highlight w:val="none"/>
          <w14:textFill>
            <w14:solidFill>
              <w14:schemeClr w14:val="tx1"/>
            </w14:solidFill>
          </w14:textFill>
        </w:rPr>
        <w:t>市级</w:t>
      </w:r>
      <w:r>
        <w:rPr>
          <w:rFonts w:ascii="仿宋_GB2312" w:hAnsi="仿宋_GB2312" w:eastAsia="仿宋_GB2312" w:cs="Times New Roman"/>
          <w:color w:val="000000" w:themeColor="text1"/>
          <w:sz w:val="32"/>
          <w:szCs w:val="32"/>
          <w:highlight w:val="none"/>
          <w14:textFill>
            <w14:solidFill>
              <w14:schemeClr w14:val="tx1"/>
            </w14:solidFill>
          </w14:textFill>
        </w:rPr>
        <w:t>旅游特色村</w:t>
      </w:r>
      <w:r>
        <w:rPr>
          <w:rFonts w:hint="eastAsia" w:ascii="仿宋_GB2312" w:hAnsi="仿宋_GB2312" w:eastAsia="仿宋_GB2312" w:cs="Times New Roman"/>
          <w:color w:val="000000" w:themeColor="text1"/>
          <w:sz w:val="32"/>
          <w:szCs w:val="32"/>
          <w:highlight w:val="none"/>
          <w14:textFill>
            <w14:solidFill>
              <w14:schemeClr w14:val="tx1"/>
            </w14:solidFill>
          </w14:textFill>
        </w:rPr>
        <w:t>2</w:t>
      </w:r>
      <w:r>
        <w:rPr>
          <w:rFonts w:ascii="仿宋_GB2312" w:hAnsi="仿宋_GB2312" w:eastAsia="仿宋_GB2312" w:cs="Times New Roman"/>
          <w:color w:val="000000" w:themeColor="text1"/>
          <w:sz w:val="32"/>
          <w:szCs w:val="32"/>
          <w:highlight w:val="none"/>
          <w14:textFill>
            <w14:solidFill>
              <w14:schemeClr w14:val="tx1"/>
            </w14:solidFill>
          </w14:textFill>
        </w:rPr>
        <w:t>个</w:t>
      </w:r>
      <w:r>
        <w:rPr>
          <w:rFonts w:hint="eastAsia" w:ascii="仿宋_GB2312" w:hAnsi="仿宋_GB2312" w:eastAsia="仿宋_GB2312" w:cs="Times New Roman"/>
          <w:color w:val="000000" w:themeColor="text1"/>
          <w:sz w:val="32"/>
          <w:szCs w:val="32"/>
          <w:highlight w:val="none"/>
          <w14:textFill>
            <w14:solidFill>
              <w14:schemeClr w14:val="tx1"/>
            </w14:solidFill>
          </w14:textFill>
        </w:rPr>
        <w:t>、市级红色旅游</w:t>
      </w:r>
      <w:r>
        <w:rPr>
          <w:rFonts w:ascii="仿宋_GB2312" w:hAnsi="仿宋_GB2312" w:eastAsia="仿宋_GB2312" w:cs="Times New Roman"/>
          <w:color w:val="000000" w:themeColor="text1"/>
          <w:sz w:val="32"/>
          <w:szCs w:val="32"/>
          <w:highlight w:val="none"/>
          <w14:textFill>
            <w14:solidFill>
              <w14:schemeClr w14:val="tx1"/>
            </w14:solidFill>
          </w14:textFill>
        </w:rPr>
        <w:t>特色村</w:t>
      </w:r>
      <w:r>
        <w:rPr>
          <w:rFonts w:hint="eastAsia" w:ascii="仿宋_GB2312" w:hAnsi="仿宋_GB2312" w:eastAsia="仿宋_GB2312" w:cs="Times New Roman"/>
          <w:color w:val="000000" w:themeColor="text1"/>
          <w:sz w:val="32"/>
          <w:szCs w:val="32"/>
          <w:highlight w:val="none"/>
          <w14:textFill>
            <w14:solidFill>
              <w14:schemeClr w14:val="tx1"/>
            </w14:solidFill>
          </w14:textFill>
        </w:rPr>
        <w:t>1个</w:t>
      </w:r>
      <w:r>
        <w:rPr>
          <w:rFonts w:ascii="仿宋_GB2312" w:hAnsi="仿宋_GB2312" w:eastAsia="仿宋_GB2312" w:cs="Times New Roman"/>
          <w:color w:val="000000" w:themeColor="text1"/>
          <w:sz w:val="32"/>
          <w:szCs w:val="32"/>
          <w:highlight w:val="none"/>
          <w14:textFill>
            <w14:solidFill>
              <w14:schemeClr w14:val="tx1"/>
            </w14:solidFill>
          </w14:textFill>
        </w:rPr>
        <w:t>。</w:t>
      </w:r>
      <w:r>
        <w:rPr>
          <w:rFonts w:hint="eastAsia" w:ascii="仿宋_GB2312" w:hAnsi="仿宋_GB2312" w:eastAsia="仿宋_GB2312" w:cs="Times New Roman"/>
          <w:color w:val="000000" w:themeColor="text1"/>
          <w:sz w:val="32"/>
          <w:szCs w:val="32"/>
          <w:highlight w:val="none"/>
          <w14:textFill>
            <w14:solidFill>
              <w14:schemeClr w14:val="tx1"/>
            </w14:solidFill>
          </w14:textFill>
        </w:rPr>
        <w:t>郯城县</w:t>
      </w:r>
      <w:r>
        <w:rPr>
          <w:rFonts w:ascii="仿宋_GB2312" w:hAnsi="仿宋_GB2312" w:eastAsia="仿宋_GB2312" w:cs="Times New Roman"/>
          <w:color w:val="000000" w:themeColor="text1"/>
          <w:sz w:val="32"/>
          <w:szCs w:val="32"/>
          <w:highlight w:val="none"/>
          <w14:textFill>
            <w14:solidFill>
              <w14:schemeClr w14:val="tx1"/>
            </w14:solidFill>
          </w14:textFill>
        </w:rPr>
        <w:t>被授予“中国优秀生态旅游县</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全省文化和旅游消费试点县</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全省休闲农业和乡村旅游示范县”称号。</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32"/>
          <w:highlight w:val="none"/>
          <w14:textFill>
            <w14:solidFill>
              <w14:schemeClr w14:val="tx1"/>
            </w14:solidFill>
          </w14:textFill>
        </w:rPr>
        <w:t>（四）优质农产品基地品牌建设成效显著，农产品质量安全水平不断提高。</w:t>
      </w:r>
      <w:r>
        <w:rPr>
          <w:rFonts w:hint="eastAsia" w:ascii="仿宋_GB2312" w:hAnsi="仿宋_GB2312" w:eastAsia="仿宋_GB2312" w:cs="Times New Roman"/>
          <w:color w:val="000000" w:themeColor="text1"/>
          <w:sz w:val="32"/>
          <w:szCs w:val="32"/>
          <w:highlight w:val="none"/>
          <w14:textFill>
            <w14:solidFill>
              <w14:schemeClr w14:val="tx1"/>
            </w14:solidFill>
          </w14:textFill>
        </w:rPr>
        <w:t>围绕突出特色、规模发展、打造优质农产品基地新亮点这一总体目标，大力实施规模化经营、标准化生产和品牌化带动战略，高点定位打造新基地，高标准规范提升老基地，促进了我县农业特色品牌建设工作深入开展。县</w:t>
      </w:r>
      <w:r>
        <w:rPr>
          <w:rFonts w:ascii="仿宋_GB2312" w:hAnsi="仿宋_GB2312" w:eastAsia="仿宋_GB2312" w:cs="Times New Roman"/>
          <w:color w:val="000000" w:themeColor="text1"/>
          <w:sz w:val="32"/>
          <w:szCs w:val="32"/>
          <w:highlight w:val="none"/>
          <w14:textFill>
            <w14:solidFill>
              <w14:schemeClr w14:val="tx1"/>
            </w14:solidFill>
          </w14:textFill>
        </w:rPr>
        <w:t>委</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政府强力推进优质农产品基地品牌建设，着力使沂蒙山优质农产品基地和品牌成为我</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农业增效、农民增收的重大核心优势和战略优势。全面推行农业标准化生产，“十三五”末已有市级农业地方标准</w:t>
      </w:r>
      <w:r>
        <w:rPr>
          <w:rFonts w:hint="eastAsia" w:ascii="仿宋_GB2312" w:hAnsi="仿宋_GB2312" w:eastAsia="仿宋_GB2312" w:cs="Times New Roman"/>
          <w:color w:val="000000" w:themeColor="text1"/>
          <w:sz w:val="32"/>
          <w:szCs w:val="32"/>
          <w:highlight w:val="none"/>
          <w14:textFill>
            <w14:solidFill>
              <w14:schemeClr w14:val="tx1"/>
            </w14:solidFill>
          </w14:textFill>
        </w:rPr>
        <w:t>6</w:t>
      </w:r>
      <w:r>
        <w:rPr>
          <w:rFonts w:ascii="仿宋_GB2312" w:hAnsi="仿宋_GB2312" w:eastAsia="仿宋_GB2312" w:cs="Times New Roman"/>
          <w:color w:val="000000" w:themeColor="text1"/>
          <w:sz w:val="32"/>
          <w:szCs w:val="32"/>
          <w:highlight w:val="none"/>
          <w14:textFill>
            <w14:solidFill>
              <w14:schemeClr w14:val="tx1"/>
            </w14:solidFill>
          </w14:textFill>
        </w:rPr>
        <w:t>项。培育价值过</w:t>
      </w:r>
      <w:r>
        <w:rPr>
          <w:rFonts w:hint="eastAsia" w:ascii="仿宋_GB2312" w:hAnsi="仿宋_GB2312" w:eastAsia="仿宋_GB2312" w:cs="Times New Roman"/>
          <w:color w:val="000000" w:themeColor="text1"/>
          <w:sz w:val="32"/>
          <w:szCs w:val="32"/>
          <w:highlight w:val="none"/>
          <w14:textFill>
            <w14:solidFill>
              <w14:schemeClr w14:val="tx1"/>
            </w14:solidFill>
          </w14:textFill>
        </w:rPr>
        <w:t>10</w:t>
      </w:r>
      <w:r>
        <w:rPr>
          <w:rFonts w:ascii="仿宋_GB2312" w:hAnsi="仿宋_GB2312" w:eastAsia="仿宋_GB2312" w:cs="Times New Roman"/>
          <w:color w:val="000000" w:themeColor="text1"/>
          <w:sz w:val="32"/>
          <w:szCs w:val="32"/>
          <w:highlight w:val="none"/>
          <w14:textFill>
            <w14:solidFill>
              <w14:schemeClr w14:val="tx1"/>
            </w14:solidFill>
          </w14:textFill>
        </w:rPr>
        <w:t>亿的区域公</w:t>
      </w:r>
      <w:r>
        <w:rPr>
          <w:rFonts w:hint="eastAsia" w:ascii="仿宋_GB2312" w:hAnsi="仿宋_GB2312" w:eastAsia="仿宋_GB2312" w:cs="Times New Roman"/>
          <w:color w:val="000000" w:themeColor="text1"/>
          <w:sz w:val="32"/>
          <w:szCs w:val="24"/>
          <w:highlight w:val="none"/>
          <w14:textFill>
            <w14:solidFill>
              <w14:schemeClr w14:val="tx1"/>
            </w14:solidFill>
          </w14:textFill>
        </w:rPr>
        <w:t>用品牌</w:t>
      </w:r>
      <w:r>
        <w:rPr>
          <w:rFonts w:hint="eastAsia" w:ascii="仿宋_GB2312" w:hAnsi="仿宋_GB2312" w:eastAsia="仿宋_GB2312" w:cs="Times New Roman"/>
          <w:color w:val="000000" w:themeColor="text1"/>
          <w:sz w:val="32"/>
          <w:szCs w:val="32"/>
          <w:highlight w:val="none"/>
          <w14:textFill>
            <w14:solidFill>
              <w14:schemeClr w14:val="tx1"/>
            </w14:solidFill>
          </w14:textFill>
        </w:rPr>
        <w:t>2</w:t>
      </w:r>
      <w:r>
        <w:rPr>
          <w:rFonts w:hint="eastAsia" w:ascii="仿宋_GB2312" w:hAnsi="仿宋_GB2312" w:eastAsia="仿宋_GB2312" w:cs="Times New Roman"/>
          <w:color w:val="000000" w:themeColor="text1"/>
          <w:sz w:val="32"/>
          <w:szCs w:val="24"/>
          <w:highlight w:val="none"/>
          <w14:textFill>
            <w14:solidFill>
              <w14:schemeClr w14:val="tx1"/>
            </w14:solidFill>
          </w14:textFill>
        </w:rPr>
        <w:t>个，企业产品品牌</w:t>
      </w:r>
      <w:r>
        <w:rPr>
          <w:rFonts w:hint="eastAsia" w:ascii="仿宋_GB2312" w:hAnsi="仿宋_GB2312" w:eastAsia="仿宋_GB2312" w:cs="Times New Roman"/>
          <w:color w:val="000000" w:themeColor="text1"/>
          <w:sz w:val="32"/>
          <w:szCs w:val="32"/>
          <w:highlight w:val="none"/>
          <w14:textFill>
            <w14:solidFill>
              <w14:schemeClr w14:val="tx1"/>
            </w14:solidFill>
          </w14:textFill>
        </w:rPr>
        <w:t>1</w:t>
      </w:r>
      <w:r>
        <w:rPr>
          <w:rFonts w:hint="eastAsia" w:ascii="仿宋_GB2312" w:hAnsi="仿宋_GB2312" w:eastAsia="仿宋_GB2312" w:cs="Times New Roman"/>
          <w:color w:val="000000" w:themeColor="text1"/>
          <w:sz w:val="32"/>
          <w:szCs w:val="24"/>
          <w:highlight w:val="none"/>
          <w14:textFill>
            <w14:solidFill>
              <w14:schemeClr w14:val="tx1"/>
            </w14:solidFill>
          </w14:textFill>
        </w:rPr>
        <w:t>个。农产品质量安全例行监测合格率稳定在</w:t>
      </w:r>
      <w:r>
        <w:rPr>
          <w:rFonts w:ascii="仿宋_GB2312" w:hAnsi="仿宋_GB2312" w:eastAsia="Times New Roman" w:cs="Times New Roman"/>
          <w:color w:val="000000" w:themeColor="text1"/>
          <w:spacing w:val="-4"/>
          <w:sz w:val="32"/>
          <w:szCs w:val="24"/>
          <w:highlight w:val="none"/>
          <w14:textFill>
            <w14:solidFill>
              <w14:schemeClr w14:val="tx1"/>
            </w14:solidFill>
          </w14:textFill>
        </w:rPr>
        <w:t>98%</w:t>
      </w:r>
      <w:r>
        <w:rPr>
          <w:rFonts w:hint="eastAsia" w:ascii="仿宋_GB2312" w:hAnsi="仿宋_GB2312" w:eastAsia="仿宋_GB2312" w:cs="Times New Roman"/>
          <w:color w:val="000000" w:themeColor="text1"/>
          <w:spacing w:val="-4"/>
          <w:sz w:val="32"/>
          <w:szCs w:val="24"/>
          <w:highlight w:val="none"/>
          <w14:textFill>
            <w14:solidFill>
              <w14:schemeClr w14:val="tx1"/>
            </w14:solidFill>
          </w14:textFill>
        </w:rPr>
        <w:t>以上。</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楷体_GB2312" w:cs="楷体_GB2312"/>
          <w:color w:val="000000" w:themeColor="text1"/>
          <w:sz w:val="32"/>
          <w:szCs w:val="24"/>
          <w:highlight w:val="none"/>
          <w14:textFill>
            <w14:solidFill>
              <w14:schemeClr w14:val="tx1"/>
            </w14:solidFill>
          </w14:textFill>
        </w:rPr>
        <w:t>（五）循环农业取得长足发展，农业科技支撑能力不断提高。</w:t>
      </w:r>
      <w:r>
        <w:rPr>
          <w:rFonts w:ascii="仿宋_GB2312" w:hAnsi="仿宋_GB2312" w:eastAsia="仿宋_GB2312" w:cs="Times New Roman"/>
          <w:color w:val="000000" w:themeColor="text1"/>
          <w:sz w:val="32"/>
          <w:szCs w:val="24"/>
          <w:highlight w:val="none"/>
          <w14:textFill>
            <w14:solidFill>
              <w14:schemeClr w14:val="tx1"/>
            </w14:solidFill>
          </w14:textFill>
        </w:rPr>
        <w:t>“十三五”期间全县农作物秸秆综合利用率达到</w:t>
      </w:r>
      <w:r>
        <w:rPr>
          <w:rFonts w:hint="eastAsia" w:ascii="仿宋_GB2312" w:hAnsi="仿宋_GB2312" w:eastAsia="仿宋_GB2312" w:cs="Times New Roman"/>
          <w:color w:val="000000" w:themeColor="text1"/>
          <w:sz w:val="32"/>
          <w:szCs w:val="24"/>
          <w:highlight w:val="none"/>
          <w14:textFill>
            <w14:solidFill>
              <w14:schemeClr w14:val="tx1"/>
            </w14:solidFill>
          </w14:textFill>
        </w:rPr>
        <w:t>92.26</w:t>
      </w:r>
      <w:r>
        <w:rPr>
          <w:rFonts w:ascii="仿宋_GB2312" w:hAnsi="仿宋_GB2312" w:eastAsia="仿宋_GB2312" w:cs="Times New Roman"/>
          <w:color w:val="000000" w:themeColor="text1"/>
          <w:sz w:val="32"/>
          <w:szCs w:val="24"/>
          <w:highlight w:val="none"/>
          <w14:textFill>
            <w14:solidFill>
              <w14:schemeClr w14:val="tx1"/>
            </w14:solidFill>
          </w14:textFill>
        </w:rPr>
        <w:t>%。全</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规模养殖场粪污设施配建率达到100%，粪污综合利用率达到</w:t>
      </w:r>
      <w:r>
        <w:rPr>
          <w:rFonts w:hint="eastAsia" w:ascii="仿宋_GB2312" w:hAnsi="仿宋_GB2312" w:eastAsia="仿宋_GB2312" w:cs="Times New Roman"/>
          <w:color w:val="000000" w:themeColor="text1"/>
          <w:sz w:val="32"/>
          <w:szCs w:val="24"/>
          <w:highlight w:val="none"/>
          <w14:textFill>
            <w14:solidFill>
              <w14:schemeClr w14:val="tx1"/>
            </w14:solidFill>
          </w14:textFill>
        </w:rPr>
        <w:t>90</w:t>
      </w:r>
      <w:r>
        <w:rPr>
          <w:rFonts w:ascii="仿宋_GB2312" w:hAnsi="仿宋_GB2312" w:eastAsia="仿宋_GB2312" w:cs="Times New Roman"/>
          <w:color w:val="000000" w:themeColor="text1"/>
          <w:sz w:val="32"/>
          <w:szCs w:val="24"/>
          <w:highlight w:val="none"/>
          <w14:textFill>
            <w14:solidFill>
              <w14:schemeClr w14:val="tx1"/>
            </w14:solidFill>
          </w14:textFill>
        </w:rPr>
        <w:t>%，种养循环、农牧结合的绿色发展模式逐步形成。实施科技展翅行动，提升农业科技创新和推广能力。2020年粮食作物良种覆盖率达</w:t>
      </w:r>
      <w:r>
        <w:rPr>
          <w:rFonts w:hint="eastAsia" w:ascii="仿宋_GB2312" w:hAnsi="仿宋_GB2312" w:eastAsia="仿宋_GB2312" w:cs="Times New Roman"/>
          <w:color w:val="000000" w:themeColor="text1"/>
          <w:sz w:val="32"/>
          <w:szCs w:val="32"/>
          <w:highlight w:val="none"/>
          <w14:textFill>
            <w14:solidFill>
              <w14:schemeClr w14:val="tx1"/>
            </w14:solidFill>
          </w14:textFill>
        </w:rPr>
        <w:t>98%</w:t>
      </w:r>
      <w:r>
        <w:rPr>
          <w:rFonts w:ascii="仿宋_GB2312" w:hAnsi="仿宋_GB2312" w:eastAsia="仿宋_GB2312" w:cs="Times New Roman"/>
          <w:color w:val="000000" w:themeColor="text1"/>
          <w:sz w:val="32"/>
          <w:szCs w:val="24"/>
          <w:highlight w:val="none"/>
          <w14:textFill>
            <w14:solidFill>
              <w14:schemeClr w14:val="tx1"/>
            </w14:solidFill>
          </w14:textFill>
        </w:rPr>
        <w:t>以上，蔬菜良种覆盖率达</w:t>
      </w:r>
      <w:r>
        <w:rPr>
          <w:rFonts w:hint="eastAsia" w:ascii="仿宋_GB2312" w:hAnsi="仿宋_GB2312" w:eastAsia="仿宋_GB2312" w:cs="Times New Roman"/>
          <w:color w:val="000000" w:themeColor="text1"/>
          <w:sz w:val="32"/>
          <w:szCs w:val="32"/>
          <w:highlight w:val="none"/>
          <w14:textFill>
            <w14:solidFill>
              <w14:schemeClr w14:val="tx1"/>
            </w14:solidFill>
          </w14:textFill>
        </w:rPr>
        <w:t>99%</w:t>
      </w:r>
      <w:r>
        <w:rPr>
          <w:rFonts w:ascii="仿宋_GB2312" w:hAnsi="仿宋_GB2312" w:eastAsia="仿宋_GB2312" w:cs="Times New Roman"/>
          <w:color w:val="000000" w:themeColor="text1"/>
          <w:sz w:val="32"/>
          <w:szCs w:val="24"/>
          <w:highlight w:val="none"/>
          <w14:textFill>
            <w14:solidFill>
              <w14:schemeClr w14:val="tx1"/>
            </w14:solidFill>
          </w14:textFill>
        </w:rPr>
        <w:t>以上，科技进步对农业增长的贡献率达到</w:t>
      </w:r>
      <w:r>
        <w:rPr>
          <w:rFonts w:hint="eastAsia" w:ascii="仿宋_GB2312" w:hAnsi="仿宋_GB2312" w:eastAsia="仿宋_GB2312" w:cs="Times New Roman"/>
          <w:color w:val="000000" w:themeColor="text1"/>
          <w:sz w:val="32"/>
          <w:szCs w:val="32"/>
          <w:highlight w:val="none"/>
          <w14:textFill>
            <w14:solidFill>
              <w14:schemeClr w14:val="tx1"/>
            </w14:solidFill>
          </w14:textFill>
        </w:rPr>
        <w:t>62</w:t>
      </w:r>
      <w:r>
        <w:rPr>
          <w:rFonts w:ascii="仿宋_GB2312" w:hAnsi="仿宋_GB2312" w:eastAsia="仿宋_GB2312" w:cs="Times New Roman"/>
          <w:color w:val="000000" w:themeColor="text1"/>
          <w:sz w:val="32"/>
          <w:szCs w:val="24"/>
          <w:highlight w:val="none"/>
          <w14:textFill>
            <w14:solidFill>
              <w14:schemeClr w14:val="tx1"/>
            </w14:solidFill>
          </w14:textFill>
        </w:rPr>
        <w:t>%。</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（六）农村基础设施建设不断完善，美丽乡村建设工作取得显著成效。</w:t>
      </w:r>
      <w:r>
        <w:rPr>
          <w:rFonts w:ascii="仿宋_GB2312" w:hAnsi="仿宋_GB2312" w:eastAsia="仿宋_GB2312" w:cs="Times New Roman"/>
          <w:color w:val="000000" w:themeColor="text1"/>
          <w:sz w:val="32"/>
          <w:szCs w:val="24"/>
          <w:highlight w:val="none"/>
          <w14:textFill>
            <w14:solidFill>
              <w14:schemeClr w14:val="tx1"/>
            </w14:solidFill>
          </w14:textFill>
        </w:rPr>
        <w:t>“十三五”期间完成县域村庄优化布局，有条件、有需求的村庄实现规划应编尽编。基本实现村内道路硬化“户户通”全覆盖。累计解决了</w:t>
      </w:r>
      <w:r>
        <w:rPr>
          <w:rFonts w:hint="eastAsia" w:ascii="仿宋_GB2312" w:hAnsi="仿宋_GB2312" w:eastAsia="仿宋_GB2312" w:cs="Times New Roman"/>
          <w:color w:val="000000" w:themeColor="text1"/>
          <w:sz w:val="32"/>
          <w:szCs w:val="24"/>
          <w:highlight w:val="none"/>
          <w14:textFill>
            <w14:solidFill>
              <w14:schemeClr w14:val="tx1"/>
            </w14:solidFill>
          </w14:textFill>
        </w:rPr>
        <w:t>83.56</w:t>
      </w:r>
      <w:r>
        <w:rPr>
          <w:rFonts w:ascii="仿宋_GB2312" w:hAnsi="仿宋_GB2312" w:eastAsia="仿宋_GB2312" w:cs="Times New Roman"/>
          <w:color w:val="000000" w:themeColor="text1"/>
          <w:sz w:val="32"/>
          <w:szCs w:val="24"/>
          <w:highlight w:val="none"/>
          <w14:textFill>
            <w14:solidFill>
              <w14:schemeClr w14:val="tx1"/>
            </w14:solidFill>
          </w14:textFill>
        </w:rPr>
        <w:t>万农村居民的饮水安全问题，完成造林面积近</w:t>
      </w:r>
      <w:r>
        <w:rPr>
          <w:rFonts w:hint="eastAsia" w:ascii="仿宋_GB2312" w:hAnsi="仿宋_GB2312" w:eastAsia="仿宋_GB2312" w:cs="Times New Roman"/>
          <w:color w:val="000000" w:themeColor="text1"/>
          <w:sz w:val="32"/>
          <w:szCs w:val="24"/>
          <w:highlight w:val="none"/>
          <w14:textFill>
            <w14:solidFill>
              <w14:schemeClr w14:val="tx1"/>
            </w14:solidFill>
          </w14:textFill>
        </w:rPr>
        <w:t>7.12</w:t>
      </w:r>
      <w:r>
        <w:rPr>
          <w:rFonts w:ascii="仿宋_GB2312" w:hAnsi="仿宋_GB2312" w:eastAsia="仿宋_GB2312" w:cs="Times New Roman"/>
          <w:color w:val="000000" w:themeColor="text1"/>
          <w:sz w:val="32"/>
          <w:szCs w:val="24"/>
          <w:highlight w:val="none"/>
          <w14:textFill>
            <w14:solidFill>
              <w14:schemeClr w14:val="tx1"/>
            </w14:solidFill>
          </w14:textFill>
        </w:rPr>
        <w:t>万亩、改厕</w:t>
      </w:r>
      <w:r>
        <w:rPr>
          <w:rFonts w:hint="eastAsia" w:ascii="仿宋_GB2312" w:hAnsi="仿宋_GB2312" w:eastAsia="仿宋_GB2312" w:cs="Times New Roman"/>
          <w:color w:val="000000" w:themeColor="text1"/>
          <w:sz w:val="32"/>
          <w:szCs w:val="24"/>
          <w:highlight w:val="none"/>
          <w14:textFill>
            <w14:solidFill>
              <w14:schemeClr w14:val="tx1"/>
            </w14:solidFill>
          </w14:textFill>
        </w:rPr>
        <w:t>7</w:t>
      </w:r>
      <w:r>
        <w:rPr>
          <w:rFonts w:ascii="仿宋_GB2312" w:hAnsi="仿宋_GB2312" w:eastAsia="仿宋_GB2312" w:cs="Times New Roman"/>
          <w:color w:val="000000" w:themeColor="text1"/>
          <w:sz w:val="32"/>
          <w:szCs w:val="24"/>
          <w:highlight w:val="none"/>
          <w14:textFill>
            <w14:solidFill>
              <w14:schemeClr w14:val="tx1"/>
            </w14:solidFill>
          </w14:textFill>
        </w:rPr>
        <w:t>万多户。</w:t>
      </w:r>
      <w:r>
        <w:rPr>
          <w:rFonts w:hint="eastAsia" w:ascii="仿宋_GB2312" w:hAnsi="仿宋_GB2312" w:eastAsia="仿宋_GB2312" w:cs="Times New Roman"/>
          <w:color w:val="000000" w:themeColor="text1"/>
          <w:sz w:val="32"/>
          <w:szCs w:val="24"/>
          <w:highlight w:val="none"/>
          <w14:textFill>
            <w14:solidFill>
              <w14:schemeClr w14:val="tx1"/>
            </w14:solidFill>
          </w14:textFill>
        </w:rPr>
        <w:t>2020年，</w:t>
      </w:r>
      <w:r>
        <w:rPr>
          <w:rFonts w:ascii="仿宋_GB2312" w:hAnsi="仿宋_GB2312" w:eastAsia="仿宋_GB2312" w:cs="Times New Roman"/>
          <w:color w:val="000000" w:themeColor="text1"/>
          <w:sz w:val="32"/>
          <w:szCs w:val="24"/>
          <w:highlight w:val="none"/>
          <w14:textFill>
            <w14:solidFill>
              <w14:schemeClr w14:val="tx1"/>
            </w14:solidFill>
          </w14:textFill>
        </w:rPr>
        <w:t>培育省级美丽乡村</w:t>
      </w:r>
      <w:r>
        <w:rPr>
          <w:rFonts w:hint="eastAsia" w:ascii="仿宋_GB2312" w:hAnsi="仿宋_GB2312" w:eastAsia="仿宋_GB2312" w:cs="Times New Roman"/>
          <w:color w:val="000000" w:themeColor="text1"/>
          <w:sz w:val="32"/>
          <w:szCs w:val="32"/>
          <w:highlight w:val="none"/>
          <w14:textFill>
            <w14:solidFill>
              <w14:schemeClr w14:val="tx1"/>
            </w14:solidFill>
          </w14:textFill>
        </w:rPr>
        <w:t>15</w:t>
      </w:r>
      <w:r>
        <w:rPr>
          <w:rFonts w:ascii="仿宋_GB2312" w:hAnsi="仿宋_GB2312" w:eastAsia="仿宋_GB2312" w:cs="Times New Roman"/>
          <w:color w:val="000000" w:themeColor="text1"/>
          <w:sz w:val="32"/>
          <w:szCs w:val="24"/>
          <w:highlight w:val="none"/>
          <w14:textFill>
            <w14:solidFill>
              <w14:schemeClr w14:val="tx1"/>
            </w14:solidFill>
          </w14:textFill>
        </w:rPr>
        <w:t>个、市级</w:t>
      </w:r>
      <w:r>
        <w:rPr>
          <w:rFonts w:hint="eastAsia" w:ascii="仿宋_GB2312" w:hAnsi="仿宋_GB2312" w:eastAsia="仿宋_GB2312" w:cs="Times New Roman"/>
          <w:color w:val="000000" w:themeColor="text1"/>
          <w:sz w:val="32"/>
          <w:szCs w:val="32"/>
          <w:highlight w:val="none"/>
          <w14:textFill>
            <w14:solidFill>
              <w14:schemeClr w14:val="tx1"/>
            </w14:solidFill>
          </w14:textFill>
        </w:rPr>
        <w:t>26</w:t>
      </w:r>
      <w:r>
        <w:rPr>
          <w:rFonts w:ascii="仿宋_GB2312" w:hAnsi="仿宋_GB2312" w:eastAsia="仿宋_GB2312" w:cs="Times New Roman"/>
          <w:color w:val="000000" w:themeColor="text1"/>
          <w:sz w:val="32"/>
          <w:szCs w:val="24"/>
          <w:highlight w:val="none"/>
          <w14:textFill>
            <w14:solidFill>
              <w14:schemeClr w14:val="tx1"/>
            </w14:solidFill>
          </w14:textFill>
        </w:rPr>
        <w:t>个，建设市级美丽乡村示范片区</w:t>
      </w:r>
      <w:r>
        <w:rPr>
          <w:rFonts w:hint="eastAsia" w:ascii="仿宋_GB2312" w:hAnsi="仿宋_GB2312" w:eastAsia="仿宋_GB2312" w:cs="Times New Roman"/>
          <w:color w:val="000000" w:themeColor="text1"/>
          <w:sz w:val="32"/>
          <w:szCs w:val="32"/>
          <w:highlight w:val="none"/>
          <w14:textFill>
            <w14:solidFill>
              <w14:schemeClr w14:val="tx1"/>
            </w14:solidFill>
          </w14:textFill>
        </w:rPr>
        <w:t>7</w:t>
      </w:r>
      <w:r>
        <w:rPr>
          <w:rFonts w:ascii="仿宋_GB2312" w:hAnsi="仿宋_GB2312" w:eastAsia="仿宋_GB2312" w:cs="Times New Roman"/>
          <w:color w:val="000000" w:themeColor="text1"/>
          <w:sz w:val="32"/>
          <w:szCs w:val="24"/>
          <w:highlight w:val="none"/>
          <w14:textFill>
            <w14:solidFill>
              <w14:schemeClr w14:val="tx1"/>
            </w14:solidFill>
          </w14:textFill>
        </w:rPr>
        <w:t>个。</w:t>
      </w:r>
    </w:p>
    <w:p>
      <w:pPr>
        <w:overflowPunct w:val="0"/>
        <w:spacing w:line="600" w:lineRule="exact"/>
        <w:ind w:firstLine="640" w:firstLineChars="200"/>
        <w:rPr>
          <w:rFonts w:ascii="仿宋_GB2312" w:hAnsi="仿宋_GB2312" w:eastAsia="黑体" w:cs="黑体"/>
          <w:color w:val="000000" w:themeColor="text1"/>
          <w:sz w:val="32"/>
          <w:szCs w:val="24"/>
          <w:highlight w:val="none"/>
          <w14:textFill>
            <w14:solidFill>
              <w14:schemeClr w14:val="tx1"/>
            </w14:solidFill>
          </w14:textFill>
        </w:rPr>
      </w:pPr>
      <w:r>
        <w:rPr>
          <w:rFonts w:hint="eastAsia" w:ascii="仿宋_GB2312" w:hAnsi="仿宋_GB2312" w:eastAsia="黑体" w:cs="黑体"/>
          <w:color w:val="000000" w:themeColor="text1"/>
          <w:sz w:val="32"/>
          <w:szCs w:val="24"/>
          <w:highlight w:val="none"/>
          <w14:textFill>
            <w14:solidFill>
              <w14:schemeClr w14:val="tx1"/>
            </w14:solidFill>
          </w14:textFill>
        </w:rPr>
        <w:t>二、发展环境</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color w:val="000000" w:themeColor="text1"/>
          <w:sz w:val="32"/>
          <w:szCs w:val="24"/>
          <w:highlight w:val="none"/>
          <w14:textFill>
            <w14:solidFill>
              <w14:schemeClr w14:val="tx1"/>
            </w14:solidFill>
          </w14:textFill>
        </w:rPr>
        <w:t>党中央、省委省政府</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ascii="仿宋_GB2312" w:hAnsi="仿宋_GB2312" w:eastAsia="仿宋_GB2312" w:cs="Times New Roman"/>
          <w:color w:val="000000" w:themeColor="text1"/>
          <w:sz w:val="32"/>
          <w:szCs w:val="24"/>
          <w:highlight w:val="none"/>
          <w14:textFill>
            <w14:solidFill>
              <w14:schemeClr w14:val="tx1"/>
            </w14:solidFill>
          </w14:textFill>
        </w:rPr>
        <w:t>市委市政府</w:t>
      </w:r>
      <w:r>
        <w:rPr>
          <w:rFonts w:hint="eastAsia" w:ascii="仿宋_GB2312" w:hAnsi="仿宋_GB2312" w:eastAsia="仿宋_GB2312" w:cs="Times New Roman"/>
          <w:color w:val="000000" w:themeColor="text1"/>
          <w:sz w:val="32"/>
          <w:szCs w:val="24"/>
          <w:highlight w:val="none"/>
          <w14:textFill>
            <w14:solidFill>
              <w14:schemeClr w14:val="tx1"/>
            </w14:solidFill>
          </w14:textFill>
        </w:rPr>
        <w:t>和县委县政府</w:t>
      </w:r>
      <w:r>
        <w:rPr>
          <w:rFonts w:ascii="仿宋_GB2312" w:hAnsi="仿宋_GB2312" w:eastAsia="仿宋_GB2312" w:cs="Times New Roman"/>
          <w:color w:val="000000" w:themeColor="text1"/>
          <w:sz w:val="32"/>
          <w:szCs w:val="24"/>
          <w:highlight w:val="none"/>
          <w14:textFill>
            <w14:solidFill>
              <w14:schemeClr w14:val="tx1"/>
            </w14:solidFill>
          </w14:textFill>
        </w:rPr>
        <w:t>高度重视“三农”工作。党的十九大提出“实施乡村振兴战略”，农业农村优先发展基本框架建立，全社会关心农业、关注农村、关爱农民的氛围更加浓厚</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ascii="仿宋_GB2312" w:hAnsi="仿宋_GB2312" w:eastAsia="仿宋_GB2312" w:cs="Times New Roman"/>
          <w:color w:val="000000" w:themeColor="text1"/>
          <w:sz w:val="32"/>
          <w:szCs w:val="24"/>
          <w:highlight w:val="none"/>
          <w14:textFill>
            <w14:solidFill>
              <w14:schemeClr w14:val="tx1"/>
            </w14:solidFill>
          </w14:textFill>
        </w:rPr>
        <w:t>2018年</w:t>
      </w:r>
      <w:r>
        <w:rPr>
          <w:rFonts w:hint="eastAsia" w:ascii="仿宋_GB2312" w:hAnsi="仿宋_GB2312" w:eastAsia="仿宋_GB2312" w:cs="Times New Roman"/>
          <w:color w:val="000000" w:themeColor="text1"/>
          <w:sz w:val="32"/>
          <w:szCs w:val="24"/>
          <w:highlight w:val="none"/>
          <w14:textFill>
            <w14:solidFill>
              <w14:schemeClr w14:val="tx1"/>
            </w14:solidFill>
          </w14:textFill>
        </w:rPr>
        <w:t>3</w:t>
      </w:r>
      <w:r>
        <w:rPr>
          <w:rFonts w:ascii="仿宋_GB2312" w:hAnsi="仿宋_GB2312" w:eastAsia="仿宋_GB2312" w:cs="Times New Roman"/>
          <w:color w:val="000000" w:themeColor="text1"/>
          <w:sz w:val="32"/>
          <w:szCs w:val="24"/>
          <w:highlight w:val="none"/>
          <w14:textFill>
            <w14:solidFill>
              <w14:schemeClr w14:val="tx1"/>
            </w14:solidFill>
          </w14:textFill>
        </w:rPr>
        <w:t>月习近平总书记参加全国“两会”山东代表团审议时，对山东打造乡村振兴齐鲁样板提出了明确要求。十九届五中全会又提出“优先发展农业农村，全面推进乡村振兴；强化以工补农、以城带乡，推动形成工农互促、城乡互补、协调发展、共同繁荣的新型工农城乡关系，加快农业农村现代化”。我市牢牢把握“在打造乡村振兴齐鲁样板中走在前列”的目标定位，积极探索打造乡村振兴齐鲁样板沂蒙路径。2020年</w:t>
      </w:r>
      <w:r>
        <w:rPr>
          <w:rFonts w:hint="eastAsia" w:ascii="仿宋_GB2312" w:hAnsi="仿宋_GB2312" w:eastAsia="仿宋_GB2312" w:cs="Times New Roman"/>
          <w:color w:val="000000" w:themeColor="text1"/>
          <w:sz w:val="32"/>
          <w:szCs w:val="24"/>
          <w:highlight w:val="none"/>
          <w14:textFill>
            <w14:solidFill>
              <w14:schemeClr w14:val="tx1"/>
            </w14:solidFill>
          </w14:textFill>
        </w:rPr>
        <w:t>6</w:t>
      </w:r>
      <w:r>
        <w:rPr>
          <w:rFonts w:ascii="仿宋_GB2312" w:hAnsi="仿宋_GB2312" w:eastAsia="仿宋_GB2312" w:cs="Times New Roman"/>
          <w:color w:val="000000" w:themeColor="text1"/>
          <w:sz w:val="32"/>
          <w:szCs w:val="24"/>
          <w:highlight w:val="none"/>
          <w14:textFill>
            <w14:solidFill>
              <w14:schemeClr w14:val="tx1"/>
            </w14:solidFill>
          </w14:textFill>
        </w:rPr>
        <w:t>月中共临沂市委、临沂市人民政府印发《关于在打造乡村振兴齐鲁样板中走在前列的实施意见》，作出统筹推进乡村振兴、实施“三步走”的部署安排，逐步把临沂打造成为长三角的农产品供应基地、休闲旅游“后花园”和产业转移“大后方”。</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color w:val="000000" w:themeColor="text1"/>
          <w:sz w:val="32"/>
          <w:szCs w:val="24"/>
          <w:highlight w:val="none"/>
          <w14:textFill>
            <w14:solidFill>
              <w14:schemeClr w14:val="tx1"/>
            </w14:solidFill>
          </w14:textFill>
        </w:rPr>
        <w:t>展望“十四五”，我国农业已进入高质量发展新阶段，农业现代化持续推进，农村经济社会深刻变革。我</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“三农”发展已进入“四期叠加”的发展阶段，乡村发展活力和动能将进一步释放，产业转型升级趋势将更加明显，城乡发展要素双向流动进程加快，乡村发展形态和格局更趋多元化。但就目前看，我</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农业农村现代化发展也面临着严峻考验。</w:t>
      </w:r>
      <w:r>
        <w:rPr>
          <w:rFonts w:hint="eastAsia" w:ascii="仿宋_GB2312" w:hAnsi="仿宋_GB2312" w:eastAsia="楷体_GB2312" w:cs="Times New Roman"/>
          <w:color w:val="000000" w:themeColor="text1"/>
          <w:spacing w:val="-2"/>
          <w:sz w:val="32"/>
          <w:szCs w:val="24"/>
          <w:highlight w:val="none"/>
          <w14:textFill>
            <w14:solidFill>
              <w14:schemeClr w14:val="tx1"/>
            </w14:solidFill>
          </w14:textFill>
        </w:rPr>
        <w:t>一是农业质量效益和综合竞争力有待提升。</w:t>
      </w:r>
      <w:r>
        <w:rPr>
          <w:rFonts w:hint="eastAsia" w:ascii="仿宋_GB2312" w:hAnsi="仿宋_GB2312" w:eastAsia="仿宋_GB2312" w:cs="Times New Roman"/>
          <w:color w:val="000000" w:themeColor="text1"/>
          <w:spacing w:val="-2"/>
          <w:sz w:val="32"/>
          <w:szCs w:val="24"/>
          <w:highlight w:val="none"/>
          <w14:textFill>
            <w14:solidFill>
              <w14:schemeClr w14:val="tx1"/>
            </w14:solidFill>
          </w14:textFill>
        </w:rPr>
        <w:t>农业生产标准化、规模化、集约化程度不高，农产品精深加工增值能力较弱，农业科技的支撑能力有待加强，新一代信</w:t>
      </w:r>
      <w:r>
        <w:rPr>
          <w:rFonts w:hint="eastAsia" w:ascii="仿宋_GB2312" w:hAnsi="仿宋_GB2312" w:eastAsia="仿宋_GB2312" w:cs="Times New Roman"/>
          <w:color w:val="000000" w:themeColor="text1"/>
          <w:spacing w:val="-1"/>
          <w:sz w:val="32"/>
          <w:szCs w:val="24"/>
          <w:highlight w:val="none"/>
          <w14:textFill>
            <w14:solidFill>
              <w14:schemeClr w14:val="tx1"/>
            </w14:solidFill>
          </w14:textFill>
        </w:rPr>
        <w:t>息技术融合度低，农产品品牌国内影响力有待提高，农业综合竞</w:t>
      </w:r>
      <w:r>
        <w:rPr>
          <w:rFonts w:hint="eastAsia" w:ascii="仿宋_GB2312" w:hAnsi="仿宋_GB2312" w:eastAsia="仿宋_GB2312" w:cs="Times New Roman"/>
          <w:color w:val="000000" w:themeColor="text1"/>
          <w:spacing w:val="-2"/>
          <w:sz w:val="32"/>
          <w:szCs w:val="24"/>
          <w:highlight w:val="none"/>
          <w14:textFill>
            <w14:solidFill>
              <w14:schemeClr w14:val="tx1"/>
            </w14:solidFill>
          </w14:textFill>
        </w:rPr>
        <w:t>争力亟需全面提升。</w:t>
      </w:r>
      <w:r>
        <w:rPr>
          <w:rFonts w:hint="eastAsia" w:ascii="仿宋_GB2312" w:hAnsi="仿宋_GB2312" w:eastAsia="楷体_GB2312" w:cs="Times New Roman"/>
          <w:color w:val="000000" w:themeColor="text1"/>
          <w:spacing w:val="-2"/>
          <w:sz w:val="32"/>
          <w:szCs w:val="24"/>
          <w:highlight w:val="none"/>
          <w14:textFill>
            <w14:solidFill>
              <w14:schemeClr w14:val="tx1"/>
            </w14:solidFill>
          </w14:textFill>
        </w:rPr>
        <w:t>二是加快乡村建设的需求更加迫切。</w:t>
      </w:r>
      <w:r>
        <w:rPr>
          <w:rFonts w:hint="eastAsia" w:ascii="仿宋_GB2312" w:hAnsi="仿宋_GB2312" w:eastAsia="仿宋_GB2312" w:cs="Times New Roman"/>
          <w:color w:val="000000" w:themeColor="text1"/>
          <w:spacing w:val="-2"/>
          <w:sz w:val="32"/>
          <w:szCs w:val="24"/>
          <w:highlight w:val="none"/>
          <w14:textFill>
            <w14:solidFill>
              <w14:schemeClr w14:val="tx1"/>
            </w14:solidFill>
          </w14:textFill>
        </w:rPr>
        <w:t>农村生态环境问题依然存在，农村人居环境整治提升任务依然很重，乡村基本公共服务水平仍需不断提升，满足农民对高品质生活的期</w:t>
      </w:r>
      <w:r>
        <w:rPr>
          <w:rFonts w:hint="eastAsia" w:ascii="仿宋_GB2312" w:hAnsi="仿宋_GB2312" w:eastAsia="仿宋_GB2312" w:cs="Times New Roman"/>
          <w:color w:val="000000" w:themeColor="text1"/>
          <w:spacing w:val="-1"/>
          <w:sz w:val="32"/>
          <w:szCs w:val="24"/>
          <w:highlight w:val="none"/>
          <w14:textFill>
            <w14:solidFill>
              <w14:schemeClr w14:val="tx1"/>
            </w14:solidFill>
          </w14:textFill>
        </w:rPr>
        <w:t>盼还有较大差距。</w:t>
      </w:r>
      <w:r>
        <w:rPr>
          <w:rFonts w:hint="eastAsia" w:ascii="仿宋_GB2312" w:hAnsi="仿宋_GB2312" w:eastAsia="楷体_GB2312" w:cs="Times New Roman"/>
          <w:color w:val="000000" w:themeColor="text1"/>
          <w:spacing w:val="-1"/>
          <w:sz w:val="32"/>
          <w:szCs w:val="24"/>
          <w:highlight w:val="none"/>
          <w14:textFill>
            <w14:solidFill>
              <w14:schemeClr w14:val="tx1"/>
            </w14:solidFill>
          </w14:textFill>
        </w:rPr>
        <w:t>三是城乡融合共享发展的体制机制有待完善。</w:t>
      </w:r>
      <w:r>
        <w:rPr>
          <w:rFonts w:hint="eastAsia" w:ascii="仿宋_GB2312" w:hAnsi="仿宋_GB2312" w:eastAsia="仿宋_GB2312" w:cs="Times New Roman"/>
          <w:color w:val="000000" w:themeColor="text1"/>
          <w:spacing w:val="-2"/>
          <w:sz w:val="32"/>
          <w:szCs w:val="24"/>
          <w:highlight w:val="none"/>
          <w14:textFill>
            <w14:solidFill>
              <w14:schemeClr w14:val="tx1"/>
            </w14:solidFill>
          </w14:textFill>
        </w:rPr>
        <w:t>城乡间资金、技术、人才、管理等要素流动不顺畅，农民持续增收压力较大，村集体经济基础较为薄弱，城乡基础设施和公共服</w:t>
      </w:r>
      <w:r>
        <w:rPr>
          <w:rFonts w:hint="eastAsia" w:ascii="仿宋_GB2312" w:hAnsi="仿宋_GB2312" w:eastAsia="仿宋_GB2312" w:cs="Times New Roman"/>
          <w:color w:val="000000" w:themeColor="text1"/>
          <w:sz w:val="32"/>
          <w:szCs w:val="24"/>
          <w:highlight w:val="none"/>
          <w14:textFill>
            <w14:solidFill>
              <w14:schemeClr w14:val="tx1"/>
            </w14:solidFill>
          </w14:textFill>
        </w:rPr>
        <w:t>务差距依然较大，城乡融合共同构建</w:t>
      </w:r>
      <w:r>
        <w:rPr>
          <w:rFonts w:ascii="仿宋_GB2312" w:hAnsi="仿宋_GB2312" w:eastAsia="Times New Roman"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Times New Roman"/>
          <w:color w:val="000000" w:themeColor="text1"/>
          <w:sz w:val="32"/>
          <w:szCs w:val="24"/>
          <w:highlight w:val="none"/>
          <w14:textFill>
            <w14:solidFill>
              <w14:schemeClr w14:val="tx1"/>
            </w14:solidFill>
          </w14:textFill>
        </w:rPr>
        <w:t>双循环</w:t>
      </w:r>
      <w:r>
        <w:rPr>
          <w:rFonts w:ascii="仿宋_GB2312" w:hAnsi="仿宋_GB2312" w:eastAsia="Times New Roman"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Times New Roman"/>
          <w:color w:val="000000" w:themeColor="text1"/>
          <w:sz w:val="32"/>
          <w:szCs w:val="24"/>
          <w:highlight w:val="none"/>
          <w14:textFill>
            <w14:solidFill>
              <w14:schemeClr w14:val="tx1"/>
            </w14:solidFill>
          </w14:textFill>
        </w:rPr>
        <w:t>新发展格局的体制机制尚未理顺，需要加快补上各项短板，扎实推进共同富裕。</w:t>
      </w:r>
    </w:p>
    <w:p>
      <w:pPr>
        <w:overflowPunct w:val="0"/>
        <w:spacing w:line="600" w:lineRule="exact"/>
        <w:ind w:firstLine="640" w:firstLineChars="200"/>
        <w:rPr>
          <w:rFonts w:ascii="仿宋_GB2312" w:hAnsi="仿宋_GB2312" w:eastAsia="黑体" w:cs="黑体"/>
          <w:color w:val="000000" w:themeColor="text1"/>
          <w:sz w:val="32"/>
          <w:szCs w:val="24"/>
          <w:highlight w:val="none"/>
          <w14:textFill>
            <w14:solidFill>
              <w14:schemeClr w14:val="tx1"/>
            </w14:solidFill>
          </w14:textFill>
        </w:rPr>
      </w:pPr>
      <w:r>
        <w:rPr>
          <w:rFonts w:hint="eastAsia" w:ascii="仿宋_GB2312" w:hAnsi="仿宋_GB2312" w:eastAsia="黑体" w:cs="黑体"/>
          <w:color w:val="000000" w:themeColor="text1"/>
          <w:sz w:val="32"/>
          <w:szCs w:val="24"/>
          <w:highlight w:val="none"/>
          <w14:textFill>
            <w14:solidFill>
              <w14:schemeClr w14:val="tx1"/>
            </w14:solidFill>
          </w14:textFill>
        </w:rPr>
        <w:t>三、总体要求</w:t>
      </w:r>
    </w:p>
    <w:p>
      <w:pPr>
        <w:overflowPunct w:val="0"/>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（一）指导思想</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hint="eastAsia" w:ascii="仿宋_GB2312" w:hAnsi="仿宋_GB2312" w:eastAsia="仿宋_GB2312" w:cs="Times New Roman"/>
          <w:color w:val="000000" w:themeColor="text1"/>
          <w:sz w:val="32"/>
          <w:szCs w:val="24"/>
          <w:highlight w:val="none"/>
          <w14:textFill>
            <w14:solidFill>
              <w14:schemeClr w14:val="tx1"/>
            </w14:solidFill>
          </w14:textFill>
        </w:rPr>
        <w:t>以习近平新时代中国特色社会主义思想为指导，深入贯彻党的十九大和习近平总书记关于</w:t>
      </w:r>
      <w:r>
        <w:rPr>
          <w:rFonts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Times New Roman"/>
          <w:color w:val="000000" w:themeColor="text1"/>
          <w:sz w:val="32"/>
          <w:szCs w:val="24"/>
          <w:highlight w:val="none"/>
          <w14:textFill>
            <w14:solidFill>
              <w14:schemeClr w14:val="tx1"/>
            </w14:solidFill>
          </w14:textFill>
        </w:rPr>
        <w:t>三农</w:t>
      </w:r>
      <w:r>
        <w:rPr>
          <w:rFonts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Times New Roman"/>
          <w:color w:val="000000" w:themeColor="text1"/>
          <w:sz w:val="32"/>
          <w:szCs w:val="24"/>
          <w:highlight w:val="none"/>
          <w14:textFill>
            <w14:solidFill>
              <w14:schemeClr w14:val="tx1"/>
            </w14:solidFill>
          </w14:textFill>
        </w:rPr>
        <w:t>工作重要论述以及视察山东重要讲话精神，坚持农业农村优先发展，以实施乡村振兴先行战略为总抓手，以全面对接深度融入长三角发展为总任务，以实施乡村振兴</w:t>
      </w:r>
      <w:r>
        <w:rPr>
          <w:rFonts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Times New Roman"/>
          <w:color w:val="000000" w:themeColor="text1"/>
          <w:sz w:val="32"/>
          <w:szCs w:val="24"/>
          <w:highlight w:val="none"/>
          <w14:textFill>
            <w14:solidFill>
              <w14:schemeClr w14:val="tx1"/>
            </w14:solidFill>
          </w14:textFill>
        </w:rPr>
        <w:t>三步走</w:t>
      </w:r>
      <w:r>
        <w:rPr>
          <w:rFonts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Times New Roman"/>
          <w:color w:val="000000" w:themeColor="text1"/>
          <w:sz w:val="32"/>
          <w:szCs w:val="24"/>
          <w:highlight w:val="none"/>
          <w14:textFill>
            <w14:solidFill>
              <w14:schemeClr w14:val="tx1"/>
            </w14:solidFill>
          </w14:textFill>
        </w:rPr>
        <w:t>为路径，落实高质量发展要求，实施乡村建设行动，深化农村改革，加快推进农业农村现代化和城乡融合发展，深度融入以国内大循环为主体、国内国际双循环相互促进的农业农村新发展格局，真正实现由农业大县向农业强县转变。</w:t>
      </w:r>
    </w:p>
    <w:p>
      <w:pPr>
        <w:overflowPunct w:val="0"/>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（二）基本原则</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——规划引领，优先发展。</w:t>
      </w:r>
      <w:r>
        <w:rPr>
          <w:rFonts w:ascii="仿宋_GB2312" w:hAnsi="仿宋_GB2312" w:eastAsia="仿宋_GB2312" w:cs="Times New Roman"/>
          <w:color w:val="000000" w:themeColor="text1"/>
          <w:sz w:val="32"/>
          <w:szCs w:val="24"/>
          <w:highlight w:val="none"/>
          <w14:textFill>
            <w14:solidFill>
              <w14:schemeClr w14:val="tx1"/>
            </w14:solidFill>
          </w14:textFill>
        </w:rPr>
        <w:t>深入对接</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郯城县</w:t>
      </w:r>
      <w:r>
        <w:rPr>
          <w:rFonts w:ascii="仿宋_GB2312" w:hAnsi="仿宋_GB2312" w:eastAsia="仿宋_GB2312" w:cs="Times New Roman"/>
          <w:color w:val="000000" w:themeColor="text1"/>
          <w:sz w:val="32"/>
          <w:szCs w:val="24"/>
          <w:highlight w:val="none"/>
          <w14:textFill>
            <w14:solidFill>
              <w14:schemeClr w14:val="tx1"/>
            </w14:solidFill>
          </w14:textFill>
        </w:rPr>
        <w:t>国土空间总体规划（2020-2035）编制工作，高标准编制“多规合一”村庄规划，推进农业农村现代化重点工程与各项规划有效衔接。把落实“四个优先”的要求作为做好“三农”工作的头等大事，在干部配备、要素配置、资金投入、公共服务等方面优先保障，加快补齐农业农村发展短板。</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——城乡统筹，融合发展。</w:t>
      </w:r>
      <w:r>
        <w:rPr>
          <w:rFonts w:ascii="仿宋_GB2312" w:hAnsi="仿宋_GB2312" w:eastAsia="仿宋_GB2312" w:cs="Times New Roman"/>
          <w:color w:val="000000" w:themeColor="text1"/>
          <w:sz w:val="32"/>
          <w:szCs w:val="24"/>
          <w:highlight w:val="none"/>
          <w14:textFill>
            <w14:solidFill>
              <w14:schemeClr w14:val="tx1"/>
            </w14:solidFill>
          </w14:textFill>
        </w:rPr>
        <w:t>建立健全城乡融合发展体制机制和政策体系，把农村一二三产业与城乡融合发展作为推进农业农村现代化的重要路径。着力破除户籍、土地、资本、公共服务等要素制约，促进城乡要素合理流动和优化配置，加快形成工农互促、城乡互补、全面融合、共同繁荣的新型工农城乡关系。</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——农民主体，共创共享。</w:t>
      </w:r>
      <w:r>
        <w:rPr>
          <w:rFonts w:ascii="仿宋_GB2312" w:hAnsi="仿宋_GB2312" w:eastAsia="仿宋_GB2312" w:cs="Times New Roman"/>
          <w:color w:val="000000" w:themeColor="text1"/>
          <w:sz w:val="32"/>
          <w:szCs w:val="24"/>
          <w:highlight w:val="none"/>
          <w14:textFill>
            <w14:solidFill>
              <w14:schemeClr w14:val="tx1"/>
            </w14:solidFill>
          </w14:textFill>
        </w:rPr>
        <w:t>坚持以人民为中心，充分尊重农民意愿，切实发挥农民在农业农村现代化发展中的主体作用，调动广大农民的积极性、主动性、创造性，把维护农民群众根本利益、促进农民共同富裕作为出发点和落脚点，促进农民持续增收，提升农民的获得感、幸福感、安全感。</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——生态优先，绿色发展。</w:t>
      </w:r>
      <w:r>
        <w:rPr>
          <w:rFonts w:ascii="仿宋_GB2312" w:hAnsi="仿宋_GB2312" w:eastAsia="仿宋_GB2312" w:cs="Times New Roman"/>
          <w:color w:val="000000" w:themeColor="text1"/>
          <w:sz w:val="32"/>
          <w:szCs w:val="24"/>
          <w:highlight w:val="none"/>
          <w14:textFill>
            <w14:solidFill>
              <w14:schemeClr w14:val="tx1"/>
            </w14:solidFill>
          </w14:textFill>
        </w:rPr>
        <w:t>践行绿水青山就是金山银山的理念，把生态平衡和农产品安全作为农业农村经济发展的底线，牢固树立资源节约、环境友好、绿色低碳理念，统筹山水林田湖草沙系统治理，严守耕地和生态保护红线，以绿色发展引领乡村振兴。</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——改革驱动，创新引领。</w:t>
      </w:r>
      <w:r>
        <w:rPr>
          <w:rFonts w:ascii="仿宋_GB2312" w:hAnsi="仿宋_GB2312" w:eastAsia="仿宋_GB2312" w:cs="Times New Roman"/>
          <w:color w:val="000000" w:themeColor="text1"/>
          <w:sz w:val="32"/>
          <w:szCs w:val="24"/>
          <w:highlight w:val="none"/>
          <w14:textFill>
            <w14:solidFill>
              <w14:schemeClr w14:val="tx1"/>
            </w14:solidFill>
          </w14:textFill>
        </w:rPr>
        <w:t>不断深化农村改革，扩大农业对外开放，大力推动科技创新、业态创新、模式创新。发挥政府主导作用，强化企业创新主体地位，加强重点领域关键技术攻关，加快发展乡村数字经济，抢占产业发展制高点，激发乡村发展内在动力和活力。</w:t>
      </w:r>
    </w:p>
    <w:p>
      <w:pPr>
        <w:overflowPunct w:val="0"/>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（三）发展定位</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color w:val="000000" w:themeColor="text1"/>
          <w:sz w:val="32"/>
          <w:szCs w:val="24"/>
          <w:highlight w:val="none"/>
          <w14:textFill>
            <w14:solidFill>
              <w14:schemeClr w14:val="tx1"/>
            </w14:solidFill>
          </w14:textFill>
        </w:rPr>
        <w:t>1.</w:t>
      </w:r>
      <w:r>
        <w:rPr>
          <w:rFonts w:hint="eastAsia" w:ascii="仿宋_GB2312" w:hAnsi="仿宋_GB2312" w:eastAsia="楷体_GB2312" w:cs="楷体_GB2312"/>
          <w:color w:val="000000" w:themeColor="text1"/>
          <w:sz w:val="32"/>
          <w:szCs w:val="24"/>
          <w:highlight w:val="none"/>
          <w14:textFill>
            <w14:solidFill>
              <w14:schemeClr w14:val="tx1"/>
            </w14:solidFill>
          </w14:textFill>
        </w:rPr>
        <w:t>乡村振兴齐鲁样板走在前列。</w:t>
      </w:r>
      <w:r>
        <w:rPr>
          <w:rFonts w:ascii="仿宋_GB2312" w:hAnsi="仿宋_GB2312" w:eastAsia="仿宋_GB2312" w:cs="Times New Roman"/>
          <w:color w:val="000000" w:themeColor="text1"/>
          <w:sz w:val="32"/>
          <w:szCs w:val="24"/>
          <w:highlight w:val="none"/>
          <w14:textFill>
            <w14:solidFill>
              <w14:schemeClr w14:val="tx1"/>
            </w14:solidFill>
          </w14:textFill>
        </w:rPr>
        <w:t>全面实施乡村振兴战略，突出抓好齐鲁样板示范片区、衔接乡村振兴集中推进区创建等，强化农业农村政策支持，增强农业农村发展活力，加快推动农业农村现代化建设，实现农业全面升级、农村全面进步、农民全面发展，在打造乡村振兴齐鲁样板中走在前列。</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楷体_GB2312" w:cs="Times New Roman"/>
          <w:color w:val="000000" w:themeColor="text1"/>
          <w:sz w:val="32"/>
          <w:szCs w:val="24"/>
          <w:highlight w:val="none"/>
          <w14:textFill>
            <w14:solidFill>
              <w14:schemeClr w14:val="tx1"/>
            </w14:solidFill>
          </w14:textFill>
        </w:rPr>
        <w:t>2.</w:t>
      </w:r>
      <w:r>
        <w:rPr>
          <w:rFonts w:hint="eastAsia" w:ascii="仿宋_GB2312" w:hAnsi="仿宋_GB2312" w:eastAsia="楷体_GB2312" w:cs="楷体_GB2312"/>
          <w:color w:val="000000" w:themeColor="text1"/>
          <w:sz w:val="32"/>
          <w:szCs w:val="24"/>
          <w:highlight w:val="none"/>
          <w14:textFill>
            <w14:solidFill>
              <w14:schemeClr w14:val="tx1"/>
            </w14:solidFill>
          </w14:textFill>
        </w:rPr>
        <w:t>农业农村高质量发展率先突破。</w:t>
      </w:r>
      <w:r>
        <w:rPr>
          <w:rFonts w:ascii="仿宋_GB2312" w:hAnsi="仿宋_GB2312" w:eastAsia="仿宋_GB2312" w:cs="Times New Roman"/>
          <w:color w:val="000000" w:themeColor="text1"/>
          <w:sz w:val="32"/>
          <w:szCs w:val="24"/>
          <w:highlight w:val="none"/>
          <w14:textFill>
            <w14:solidFill>
              <w14:schemeClr w14:val="tx1"/>
            </w14:solidFill>
          </w14:textFill>
        </w:rPr>
        <w:t>全面落实“三步走”路径，创新农业农村发展思路，推动现代农业由增产导向转向提质导向，探索具有</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w:t>
      </w:r>
      <w:r>
        <w:rPr>
          <w:rFonts w:ascii="仿宋_GB2312" w:hAnsi="仿宋_GB2312" w:eastAsia="仿宋_GB2312" w:cs="Times New Roman"/>
          <w:color w:val="000000" w:themeColor="text1"/>
          <w:sz w:val="32"/>
          <w:szCs w:val="24"/>
          <w:highlight w:val="none"/>
          <w14:textFill>
            <w14:solidFill>
              <w14:schemeClr w14:val="tx1"/>
            </w14:solidFill>
          </w14:textFill>
        </w:rPr>
        <w:t>特色的乡村振兴新路径，争取在农业农村高质量发展中实现率先突破。</w:t>
      </w:r>
    </w:p>
    <w:p>
      <w:pPr>
        <w:overflowPunct w:val="0"/>
        <w:spacing w:line="600" w:lineRule="exact"/>
        <w:ind w:firstLine="640" w:firstLineChars="200"/>
        <w:rPr>
          <w:rFonts w:ascii="仿宋_GB2312" w:hAnsi="仿宋_GB2312" w:eastAsia="楷体_GB2312" w:cs="Times New Roman"/>
          <w:color w:val="000000" w:themeColor="text1"/>
          <w:sz w:val="32"/>
          <w:szCs w:val="24"/>
          <w:highlight w:val="none"/>
          <w14:textFill>
            <w14:solidFill>
              <w14:schemeClr w14:val="tx1"/>
            </w14:solidFill>
          </w14:textFill>
        </w:rPr>
      </w:pPr>
      <w:r>
        <w:rPr>
          <w:rFonts w:ascii="仿宋_GB2312" w:hAnsi="仿宋_GB2312" w:eastAsia="楷体_GB2312" w:cs="Times New Roman"/>
          <w:color w:val="000000" w:themeColor="text1"/>
          <w:sz w:val="32"/>
          <w:szCs w:val="24"/>
          <w:highlight w:val="none"/>
          <w14:textFill>
            <w14:solidFill>
              <w14:schemeClr w14:val="tx1"/>
            </w14:solidFill>
          </w14:textFill>
        </w:rPr>
        <w:t>（四）发展目标</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color w:val="000000" w:themeColor="text1"/>
          <w:sz w:val="32"/>
          <w:szCs w:val="24"/>
          <w:highlight w:val="none"/>
          <w14:textFill>
            <w14:solidFill>
              <w14:schemeClr w14:val="tx1"/>
            </w14:solidFill>
          </w14:textFill>
        </w:rPr>
        <w:t>到2025年，现代农业发展成效显著，农村人居环境显著改善，城乡差距进一步缩小，党的基层组织全面夯实，乡村治理能力大幅提升，</w:t>
      </w:r>
      <w:r>
        <w:rPr>
          <w:rFonts w:hint="eastAsia" w:ascii="仿宋_GB2312" w:hAnsi="仿宋_GB2312" w:eastAsia="仿宋_GB2312" w:cs="Times New Roman"/>
          <w:color w:val="000000" w:themeColor="text1"/>
          <w:sz w:val="32"/>
          <w:szCs w:val="32"/>
          <w:highlight w:val="none"/>
          <w14:textFill>
            <w14:solidFill>
              <w14:schemeClr w14:val="tx1"/>
            </w14:solidFill>
          </w14:textFill>
        </w:rPr>
        <w:t>1/3</w:t>
      </w:r>
      <w:r>
        <w:rPr>
          <w:rFonts w:ascii="仿宋_GB2312" w:hAnsi="仿宋_GB2312" w:eastAsia="仿宋_GB2312" w:cs="Times New Roman"/>
          <w:color w:val="000000" w:themeColor="text1"/>
          <w:sz w:val="32"/>
          <w:szCs w:val="24"/>
          <w:highlight w:val="none"/>
          <w14:textFill>
            <w14:solidFill>
              <w14:schemeClr w14:val="tx1"/>
            </w14:solidFill>
          </w14:textFill>
        </w:rPr>
        <w:t>的村庄基本实现农业农村现代化，乡村振兴取得重大进展，具有</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w:t>
      </w:r>
      <w:r>
        <w:rPr>
          <w:rFonts w:ascii="仿宋_GB2312" w:hAnsi="仿宋_GB2312" w:eastAsia="仿宋_GB2312" w:cs="Times New Roman"/>
          <w:color w:val="000000" w:themeColor="text1"/>
          <w:sz w:val="32"/>
          <w:szCs w:val="24"/>
          <w:highlight w:val="none"/>
          <w14:textFill>
            <w14:solidFill>
              <w14:schemeClr w14:val="tx1"/>
            </w14:solidFill>
          </w14:textFill>
        </w:rPr>
        <w:t>特色的乡村振兴模式基本形成。</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农业农村现代化水平进一步提升。</w:t>
      </w:r>
      <w:r>
        <w:rPr>
          <w:rFonts w:ascii="仿宋_GB2312" w:hAnsi="仿宋_GB2312" w:eastAsia="仿宋_GB2312" w:cs="Times New Roman"/>
          <w:color w:val="000000" w:themeColor="text1"/>
          <w:sz w:val="32"/>
          <w:szCs w:val="24"/>
          <w:highlight w:val="none"/>
          <w14:textFill>
            <w14:solidFill>
              <w14:schemeClr w14:val="tx1"/>
            </w14:solidFill>
          </w14:textFill>
        </w:rPr>
        <w:t>耕地资源得到切实保护，农业全产业链发展成效显著，农业综合生产能力和现代化水平进一步提升。到2025年，农林牧渔业增加值超过</w:t>
      </w:r>
      <w:r>
        <w:rPr>
          <w:rFonts w:hint="eastAsia" w:ascii="仿宋_GB2312" w:hAnsi="仿宋_GB2312" w:eastAsia="仿宋_GB2312" w:cs="Times New Roman"/>
          <w:color w:val="000000" w:themeColor="text1"/>
          <w:sz w:val="32"/>
          <w:szCs w:val="24"/>
          <w:highlight w:val="none"/>
          <w14:textFill>
            <w14:solidFill>
              <w14:schemeClr w14:val="tx1"/>
            </w14:solidFill>
          </w14:textFill>
        </w:rPr>
        <w:t>50</w:t>
      </w:r>
      <w:r>
        <w:rPr>
          <w:rFonts w:ascii="仿宋_GB2312" w:hAnsi="仿宋_GB2312" w:eastAsia="仿宋_GB2312" w:cs="Times New Roman"/>
          <w:color w:val="000000" w:themeColor="text1"/>
          <w:sz w:val="32"/>
          <w:szCs w:val="24"/>
          <w:highlight w:val="none"/>
          <w14:textFill>
            <w14:solidFill>
              <w14:schemeClr w14:val="tx1"/>
            </w14:solidFill>
          </w14:textFill>
        </w:rPr>
        <w:t>亿元，年均增长</w:t>
      </w:r>
      <w:r>
        <w:rPr>
          <w:rFonts w:hint="eastAsia" w:ascii="仿宋_GB2312" w:hAnsi="仿宋_GB2312" w:eastAsia="仿宋_GB2312" w:cs="Times New Roman"/>
          <w:color w:val="000000" w:themeColor="text1"/>
          <w:sz w:val="32"/>
          <w:szCs w:val="24"/>
          <w:highlight w:val="none"/>
          <w14:textFill>
            <w14:solidFill>
              <w14:schemeClr w14:val="tx1"/>
            </w14:solidFill>
          </w14:textFill>
        </w:rPr>
        <w:t>6.8</w:t>
      </w:r>
      <w:r>
        <w:rPr>
          <w:rFonts w:ascii="仿宋_GB2312" w:hAnsi="仿宋_GB2312" w:eastAsia="仿宋_GB2312" w:cs="Times New Roman"/>
          <w:color w:val="000000" w:themeColor="text1"/>
          <w:sz w:val="32"/>
          <w:szCs w:val="24"/>
          <w:highlight w:val="none"/>
          <w14:textFill>
            <w14:solidFill>
              <w14:schemeClr w14:val="tx1"/>
            </w14:solidFill>
          </w14:textFill>
        </w:rPr>
        <w:t>%以上；农产品网络零售额突破</w:t>
      </w:r>
      <w:r>
        <w:rPr>
          <w:rFonts w:hint="eastAsia" w:ascii="仿宋_GB2312" w:hAnsi="仿宋_GB2312" w:eastAsia="仿宋_GB2312" w:cs="Times New Roman"/>
          <w:color w:val="000000" w:themeColor="text1"/>
          <w:sz w:val="32"/>
          <w:szCs w:val="24"/>
          <w:highlight w:val="none"/>
          <w14:textFill>
            <w14:solidFill>
              <w14:schemeClr w14:val="tx1"/>
            </w14:solidFill>
          </w14:textFill>
        </w:rPr>
        <w:t>3</w:t>
      </w:r>
      <w:r>
        <w:rPr>
          <w:rFonts w:ascii="仿宋_GB2312" w:hAnsi="仿宋_GB2312" w:eastAsia="仿宋_GB2312" w:cs="Times New Roman"/>
          <w:color w:val="000000" w:themeColor="text1"/>
          <w:sz w:val="32"/>
          <w:szCs w:val="24"/>
          <w:highlight w:val="none"/>
          <w14:textFill>
            <w14:solidFill>
              <w14:schemeClr w14:val="tx1"/>
            </w14:solidFill>
          </w14:textFill>
        </w:rPr>
        <w:t>亿元。</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楷体_GB2312" w:cs="楷体_GB2312"/>
          <w:color w:val="000000" w:themeColor="text1"/>
          <w:sz w:val="32"/>
          <w:szCs w:val="24"/>
          <w:highlight w:val="none"/>
          <w14:textFill>
            <w14:solidFill>
              <w14:schemeClr w14:val="tx1"/>
            </w14:solidFill>
          </w14:textFill>
        </w:rPr>
        <w:t>农民生活品质进一步改善。</w:t>
      </w:r>
      <w:r>
        <w:rPr>
          <w:rFonts w:ascii="仿宋_GB2312" w:hAnsi="仿宋_GB2312" w:eastAsia="仿宋_GB2312" w:cs="Times New Roman"/>
          <w:color w:val="000000" w:themeColor="text1"/>
          <w:sz w:val="32"/>
          <w:szCs w:val="24"/>
          <w:highlight w:val="none"/>
          <w14:textFill>
            <w14:solidFill>
              <w14:schemeClr w14:val="tx1"/>
            </w14:solidFill>
          </w14:textFill>
        </w:rPr>
        <w:t>农村公共服务水平持续提升，农村社会治理全面提升。到2025年，</w:t>
      </w:r>
      <w:r>
        <w:rPr>
          <w:rFonts w:hint="eastAsia" w:ascii="仿宋_GB2312" w:hAnsi="仿宋_GB2312" w:eastAsia="仿宋_GB2312" w:cs="Times New Roman"/>
          <w:color w:val="000000" w:themeColor="text1"/>
          <w:sz w:val="32"/>
          <w:szCs w:val="32"/>
          <w:highlight w:val="none"/>
          <w14:textFill>
            <w14:solidFill>
              <w14:schemeClr w14:val="tx1"/>
            </w14:solidFill>
          </w14:textFill>
        </w:rPr>
        <w:t>2/3</w:t>
      </w:r>
      <w:r>
        <w:rPr>
          <w:rFonts w:ascii="仿宋_GB2312" w:hAnsi="仿宋_GB2312" w:eastAsia="仿宋_GB2312" w:cs="Times New Roman"/>
          <w:color w:val="000000" w:themeColor="text1"/>
          <w:sz w:val="32"/>
          <w:szCs w:val="24"/>
          <w:highlight w:val="none"/>
          <w14:textFill>
            <w14:solidFill>
              <w14:schemeClr w14:val="tx1"/>
            </w14:solidFill>
          </w14:textFill>
        </w:rPr>
        <w:t>以上的行政村集体收入超过</w:t>
      </w:r>
      <w:r>
        <w:rPr>
          <w:rFonts w:hint="eastAsia" w:ascii="仿宋_GB2312" w:hAnsi="仿宋_GB2312" w:eastAsia="仿宋_GB2312" w:cs="Times New Roman"/>
          <w:color w:val="000000" w:themeColor="text1"/>
          <w:sz w:val="32"/>
          <w:szCs w:val="32"/>
          <w:highlight w:val="none"/>
          <w14:textFill>
            <w14:solidFill>
              <w14:schemeClr w14:val="tx1"/>
            </w14:solidFill>
          </w14:textFill>
        </w:rPr>
        <w:t>50</w:t>
      </w:r>
      <w:r>
        <w:rPr>
          <w:rFonts w:ascii="仿宋_GB2312" w:hAnsi="仿宋_GB2312" w:eastAsia="仿宋_GB2312" w:cs="Times New Roman"/>
          <w:color w:val="000000" w:themeColor="text1"/>
          <w:sz w:val="32"/>
          <w:szCs w:val="24"/>
          <w:highlight w:val="none"/>
          <w14:textFill>
            <w14:solidFill>
              <w14:schemeClr w14:val="tx1"/>
            </w14:solidFill>
          </w14:textFill>
        </w:rPr>
        <w:t>万元，农村居民人均可支配收入达到</w:t>
      </w:r>
      <w:r>
        <w:rPr>
          <w:rFonts w:hint="eastAsia" w:ascii="仿宋_GB2312" w:hAnsi="仿宋_GB2312" w:eastAsia="仿宋_GB2312" w:cs="Times New Roman"/>
          <w:color w:val="000000" w:themeColor="text1"/>
          <w:sz w:val="32"/>
          <w:szCs w:val="32"/>
          <w:highlight w:val="none"/>
          <w14:textFill>
            <w14:solidFill>
              <w14:schemeClr w14:val="tx1"/>
            </w14:solidFill>
          </w14:textFill>
        </w:rPr>
        <w:t>2</w:t>
      </w:r>
      <w:r>
        <w:rPr>
          <w:rFonts w:ascii="仿宋_GB2312" w:hAnsi="仿宋_GB2312" w:eastAsia="仿宋_GB2312" w:cs="Times New Roman"/>
          <w:color w:val="000000" w:themeColor="text1"/>
          <w:sz w:val="32"/>
          <w:szCs w:val="24"/>
          <w:highlight w:val="none"/>
          <w14:textFill>
            <w14:solidFill>
              <w14:schemeClr w14:val="tx1"/>
            </w14:solidFill>
          </w14:textFill>
        </w:rPr>
        <w:t>万元左右，农村恩格尔系数降低至</w:t>
      </w:r>
      <w:r>
        <w:rPr>
          <w:rFonts w:hint="eastAsia" w:ascii="仿宋_GB2312" w:hAnsi="仿宋_GB2312" w:eastAsia="仿宋_GB2312" w:cs="Times New Roman"/>
          <w:color w:val="000000" w:themeColor="text1"/>
          <w:sz w:val="32"/>
          <w:szCs w:val="32"/>
          <w:highlight w:val="none"/>
          <w14:textFill>
            <w14:solidFill>
              <w14:schemeClr w14:val="tx1"/>
            </w14:solidFill>
          </w14:textFill>
        </w:rPr>
        <w:t>26%</w:t>
      </w:r>
      <w:r>
        <w:rPr>
          <w:rFonts w:ascii="仿宋_GB2312" w:hAnsi="仿宋_GB2312" w:eastAsia="仿宋_GB2312" w:cs="Times New Roman"/>
          <w:color w:val="000000" w:themeColor="text1"/>
          <w:sz w:val="32"/>
          <w:szCs w:val="24"/>
          <w:highlight w:val="none"/>
          <w14:textFill>
            <w14:solidFill>
              <w14:schemeClr w14:val="tx1"/>
            </w14:solidFill>
          </w14:textFill>
        </w:rPr>
        <w:t>左右，城乡居民收入差距缩小到</w:t>
      </w:r>
      <w:r>
        <w:rPr>
          <w:rFonts w:hint="eastAsia" w:ascii="仿宋_GB2312" w:hAnsi="仿宋_GB2312" w:eastAsia="仿宋_GB2312" w:cs="Times New Roman"/>
          <w:color w:val="000000" w:themeColor="text1"/>
          <w:sz w:val="32"/>
          <w:szCs w:val="32"/>
          <w:highlight w:val="none"/>
          <w14:textFill>
            <w14:solidFill>
              <w14:schemeClr w14:val="tx1"/>
            </w14:solidFill>
          </w14:textFill>
        </w:rPr>
        <w:t>2.45:1</w:t>
      </w:r>
      <w:r>
        <w:rPr>
          <w:rFonts w:ascii="仿宋_GB2312" w:hAnsi="仿宋_GB2312" w:eastAsia="仿宋_GB2312" w:cs="Times New Roman"/>
          <w:color w:val="000000" w:themeColor="text1"/>
          <w:sz w:val="32"/>
          <w:szCs w:val="24"/>
          <w:highlight w:val="none"/>
          <w14:textFill>
            <w14:solidFill>
              <w14:schemeClr w14:val="tx1"/>
            </w14:solidFill>
          </w14:textFill>
        </w:rPr>
        <w:t>以内。</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楷体_GB2312" w:cs="楷体_GB2312"/>
          <w:color w:val="000000" w:themeColor="text1"/>
          <w:sz w:val="32"/>
          <w:szCs w:val="24"/>
          <w:highlight w:val="none"/>
          <w14:textFill>
            <w14:solidFill>
              <w14:schemeClr w14:val="tx1"/>
            </w14:solidFill>
          </w14:textFill>
        </w:rPr>
        <w:t>农产品安全保障进一步增强。</w:t>
      </w:r>
      <w:r>
        <w:rPr>
          <w:rFonts w:ascii="仿宋_GB2312" w:hAnsi="仿宋_GB2312" w:eastAsia="仿宋_GB2312" w:cs="Times New Roman"/>
          <w:color w:val="000000" w:themeColor="text1"/>
          <w:sz w:val="32"/>
          <w:szCs w:val="24"/>
          <w:highlight w:val="none"/>
          <w14:textFill>
            <w14:solidFill>
              <w14:schemeClr w14:val="tx1"/>
            </w14:solidFill>
          </w14:textFill>
        </w:rPr>
        <w:t>农业绿色发展初见成效，农产品质量全链条标准体系更加健全。到2025年，优质农产品生产标准化、经营规模化、营销品牌化水平不断提高，农产品安全监管网络、监测体系不断健全完善，农产品质量安全例行监测合格率稳定在98%以上。</w:t>
      </w:r>
    </w:p>
    <w:p>
      <w:pPr>
        <w:overflowPunct w:val="0"/>
        <w:spacing w:line="600" w:lineRule="exact"/>
        <w:ind w:firstLine="640"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楷体_GB2312" w:cs="楷体_GB2312"/>
          <w:color w:val="000000" w:themeColor="text1"/>
          <w:sz w:val="32"/>
          <w:szCs w:val="24"/>
          <w:highlight w:val="none"/>
          <w14:textFill>
            <w14:solidFill>
              <w14:schemeClr w14:val="tx1"/>
            </w14:solidFill>
          </w14:textFill>
        </w:rPr>
        <w:t>农村生态环境进一步优化。</w:t>
      </w:r>
      <w:r>
        <w:rPr>
          <w:rFonts w:ascii="仿宋_GB2312" w:hAnsi="仿宋_GB2312" w:eastAsia="仿宋_GB2312" w:cs="Times New Roman"/>
          <w:color w:val="000000" w:themeColor="text1"/>
          <w:sz w:val="32"/>
          <w:szCs w:val="24"/>
          <w:highlight w:val="none"/>
          <w14:textFill>
            <w14:solidFill>
              <w14:schemeClr w14:val="tx1"/>
            </w14:solidFill>
          </w14:textFill>
        </w:rPr>
        <w:t>农业生态环境保护力度不断加大，农村环境综合整治深入推进，农村环境面貌明显改观。到2025年，畜禽粪污综合利用率达到</w:t>
      </w:r>
      <w:r>
        <w:rPr>
          <w:rFonts w:hint="eastAsia" w:ascii="仿宋_GB2312" w:hAnsi="仿宋_GB2312" w:eastAsia="仿宋_GB2312" w:cs="Times New Roman"/>
          <w:color w:val="000000" w:themeColor="text1"/>
          <w:sz w:val="32"/>
          <w:szCs w:val="24"/>
          <w:highlight w:val="none"/>
          <w14:textFill>
            <w14:solidFill>
              <w14:schemeClr w14:val="tx1"/>
            </w14:solidFill>
          </w14:textFill>
        </w:rPr>
        <w:t>90</w:t>
      </w:r>
      <w:r>
        <w:rPr>
          <w:rFonts w:ascii="仿宋_GB2312" w:hAnsi="仿宋_GB2312" w:eastAsia="仿宋_GB2312" w:cs="Times New Roman"/>
          <w:color w:val="000000" w:themeColor="text1"/>
          <w:sz w:val="32"/>
          <w:szCs w:val="24"/>
          <w:highlight w:val="none"/>
          <w14:textFill>
            <w14:solidFill>
              <w14:schemeClr w14:val="tx1"/>
            </w14:solidFill>
          </w14:textFill>
        </w:rPr>
        <w:t>%以上，完成农村生活污水治理的行政村达到</w:t>
      </w:r>
      <w:r>
        <w:rPr>
          <w:rFonts w:hint="eastAsia" w:ascii="仿宋_GB2312" w:hAnsi="仿宋_GB2312" w:eastAsia="仿宋_GB2312" w:cs="Times New Roman"/>
          <w:color w:val="000000" w:themeColor="text1"/>
          <w:sz w:val="32"/>
          <w:szCs w:val="32"/>
          <w:highlight w:val="none"/>
          <w14:textFill>
            <w14:solidFill>
              <w14:schemeClr w14:val="tx1"/>
            </w14:solidFill>
          </w14:textFill>
        </w:rPr>
        <w:t>55%</w:t>
      </w:r>
      <w:r>
        <w:rPr>
          <w:rFonts w:ascii="仿宋_GB2312" w:hAnsi="仿宋_GB2312" w:eastAsia="仿宋_GB2312" w:cs="Times New Roman"/>
          <w:color w:val="000000" w:themeColor="text1"/>
          <w:sz w:val="32"/>
          <w:szCs w:val="24"/>
          <w:highlight w:val="none"/>
          <w14:textFill>
            <w14:solidFill>
              <w14:schemeClr w14:val="tx1"/>
            </w14:solidFill>
          </w14:textFill>
        </w:rPr>
        <w:t>以上，建制村农村生活垃圾无害化处理率达到100%。</w:t>
      </w:r>
    </w:p>
    <w:p>
      <w:pPr>
        <w:kinsoku w:val="0"/>
        <w:overflowPunct w:val="0"/>
        <w:spacing w:line="560" w:lineRule="exact"/>
        <w:jc w:val="center"/>
        <w:rPr>
          <w:rFonts w:ascii="黑体" w:hAnsi="黑体" w:eastAsia="黑体" w:cs="黑体"/>
          <w:color w:val="000000" w:themeColor="text1"/>
          <w:sz w:val="32"/>
          <w:szCs w:val="24"/>
          <w:highlight w:val="none"/>
          <w14:textFill>
            <w14:solidFill>
              <w14:schemeClr w14:val="tx1"/>
            </w14:solidFill>
          </w14:textFill>
        </w:rPr>
      </w:pPr>
      <w:r>
        <w:rPr>
          <w:rFonts w:hint="eastAsia" w:ascii="仿宋_GB2312" w:hAnsi="仿宋_GB2312" w:eastAsia="黑体" w:cs="Times New Roman"/>
          <w:color w:val="000000" w:themeColor="text1"/>
          <w:sz w:val="32"/>
          <w:szCs w:val="24"/>
          <w:highlight w:val="none"/>
          <w14:textFill>
            <w14:solidFill>
              <w14:schemeClr w14:val="tx1"/>
            </w14:solidFill>
          </w14:textFill>
        </w:rPr>
        <w:br w:type="page"/>
      </w:r>
      <w:r>
        <w:rPr>
          <w:rFonts w:hint="eastAsia" w:ascii="黑体" w:hAnsi="黑体" w:eastAsia="黑体" w:cs="黑体"/>
          <w:color w:val="000000" w:themeColor="text1"/>
          <w:sz w:val="32"/>
          <w:szCs w:val="24"/>
          <w:highlight w:val="none"/>
          <w14:textFill>
            <w14:solidFill>
              <w14:schemeClr w14:val="tx1"/>
            </w14:solidFill>
          </w14:textFill>
        </w:rPr>
        <w:t>表1“十四五”期间农业农村现代化发展主要指标</w:t>
      </w:r>
    </w:p>
    <w:p>
      <w:pPr>
        <w:kinsoku w:val="0"/>
        <w:overflowPunct w:val="0"/>
        <w:spacing w:line="560" w:lineRule="exact"/>
        <w:ind w:firstLine="60" w:firstLineChars="200"/>
        <w:rPr>
          <w:rFonts w:ascii="仿宋_GB2312" w:hAnsi="仿宋_GB2312" w:eastAsia="黑体" w:cs="Times New Roman"/>
          <w:color w:val="000000" w:themeColor="text1"/>
          <w:sz w:val="3"/>
          <w:szCs w:val="24"/>
          <w:highlight w:val="none"/>
          <w14:textFill>
            <w14:solidFill>
              <w14:schemeClr w14:val="tx1"/>
            </w14:solidFill>
          </w14:textFill>
        </w:rPr>
      </w:pPr>
    </w:p>
    <w:tbl>
      <w:tblPr>
        <w:tblStyle w:val="18"/>
        <w:tblW w:w="9071" w:type="dxa"/>
        <w:jc w:val="center"/>
        <w:tblLayout w:type="autofit"/>
        <w:tblCellMar>
          <w:top w:w="0" w:type="dxa"/>
          <w:left w:w="108" w:type="dxa"/>
          <w:bottom w:w="0" w:type="dxa"/>
          <w:right w:w="108" w:type="dxa"/>
        </w:tblCellMar>
      </w:tblPr>
      <w:tblGrid>
        <w:gridCol w:w="1049"/>
        <w:gridCol w:w="4873"/>
        <w:gridCol w:w="1045"/>
        <w:gridCol w:w="1058"/>
        <w:gridCol w:w="1046"/>
      </w:tblGrid>
      <w:tr>
        <w:tblPrEx>
          <w:tblCellMar>
            <w:top w:w="0" w:type="dxa"/>
            <w:left w:w="108" w:type="dxa"/>
            <w:bottom w:w="0" w:type="dxa"/>
            <w:right w:w="108" w:type="dxa"/>
          </w:tblCellMar>
        </w:tblPrEx>
        <w:trPr>
          <w:trHeight w:val="737" w:hRule="exact"/>
          <w:jc w:val="center"/>
        </w:trPr>
        <w:tc>
          <w:tcPr>
            <w:tcW w:w="578"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黑体" w:hAnsi="黑体" w:eastAsia="黑体" w:cs="黑体"/>
                <w:color w:val="000000" w:themeColor="text1"/>
                <w:sz w:val="24"/>
                <w:szCs w:val="24"/>
                <w:highlight w:val="none"/>
                <w14:textFill>
                  <w14:solidFill>
                    <w14:schemeClr w14:val="tx1"/>
                  </w14:solidFill>
                </w14:textFill>
              </w:rPr>
            </w:pPr>
            <w:r>
              <w:rPr>
                <w:rFonts w:hint="eastAsia" w:ascii="黑体" w:hAnsi="黑体" w:eastAsia="黑体" w:cs="黑体"/>
                <w:color w:val="000000" w:themeColor="text1"/>
                <w:sz w:val="24"/>
                <w:szCs w:val="24"/>
                <w:highlight w:val="none"/>
                <w14:textFill>
                  <w14:solidFill>
                    <w14:schemeClr w14:val="tx1"/>
                  </w14:solidFill>
                </w14:textFill>
              </w:rPr>
              <w:t>类别</w:t>
            </w: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黑体" w:hAnsi="黑体" w:eastAsia="黑体" w:cs="黑体"/>
                <w:color w:val="000000" w:themeColor="text1"/>
                <w:sz w:val="24"/>
                <w:szCs w:val="24"/>
                <w:highlight w:val="none"/>
                <w14:textFill>
                  <w14:solidFill>
                    <w14:schemeClr w14:val="tx1"/>
                  </w14:solidFill>
                </w14:textFill>
              </w:rPr>
            </w:pPr>
            <w:r>
              <w:rPr>
                <w:rFonts w:hint="eastAsia" w:ascii="黑体" w:hAnsi="黑体" w:eastAsia="黑体" w:cs="黑体"/>
                <w:color w:val="000000" w:themeColor="text1"/>
                <w:sz w:val="24"/>
                <w:szCs w:val="24"/>
                <w:highlight w:val="none"/>
                <w14:textFill>
                  <w14:solidFill>
                    <w14:schemeClr w14:val="tx1"/>
                  </w14:solidFill>
                </w14:textFill>
              </w:rPr>
              <w:t>指  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黑体" w:hAnsi="黑体" w:eastAsia="黑体" w:cs="黑体"/>
                <w:color w:val="000000" w:themeColor="text1"/>
                <w:sz w:val="24"/>
                <w:szCs w:val="24"/>
                <w:highlight w:val="none"/>
                <w14:textFill>
                  <w14:solidFill>
                    <w14:schemeClr w14:val="tx1"/>
                  </w14:solidFill>
                </w14:textFill>
              </w:rPr>
            </w:pPr>
            <w:r>
              <w:rPr>
                <w:rFonts w:hint="eastAsia" w:ascii="黑体" w:hAnsi="黑体" w:eastAsia="黑体" w:cs="黑体"/>
                <w:color w:val="000000" w:themeColor="text1"/>
                <w:sz w:val="24"/>
                <w:szCs w:val="24"/>
                <w:highlight w:val="none"/>
                <w14:textFill>
                  <w14:solidFill>
                    <w14:schemeClr w14:val="tx1"/>
                  </w14:solidFill>
                </w14:textFill>
              </w:rPr>
              <w:t>2020年</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黑体" w:hAnsi="黑体" w:eastAsia="黑体" w:cs="黑体"/>
                <w:color w:val="000000" w:themeColor="text1"/>
                <w:sz w:val="24"/>
                <w:szCs w:val="24"/>
                <w:highlight w:val="none"/>
                <w14:textFill>
                  <w14:solidFill>
                    <w14:schemeClr w14:val="tx1"/>
                  </w14:solidFill>
                </w14:textFill>
              </w:rPr>
            </w:pPr>
            <w:r>
              <w:rPr>
                <w:rFonts w:hint="eastAsia" w:ascii="黑体" w:hAnsi="黑体" w:eastAsia="黑体" w:cs="黑体"/>
                <w:color w:val="000000" w:themeColor="text1"/>
                <w:sz w:val="24"/>
                <w:szCs w:val="24"/>
                <w:highlight w:val="none"/>
                <w14:textFill>
                  <w14:solidFill>
                    <w14:schemeClr w14:val="tx1"/>
                  </w14:solidFill>
                </w14:textFill>
              </w:rPr>
              <w:t>2025年</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黑体" w:hAnsi="黑体" w:eastAsia="黑体" w:cs="黑体"/>
                <w:color w:val="000000" w:themeColor="text1"/>
                <w:sz w:val="24"/>
                <w:szCs w:val="24"/>
                <w:highlight w:val="none"/>
                <w14:textFill>
                  <w14:solidFill>
                    <w14:schemeClr w14:val="tx1"/>
                  </w14:solidFill>
                </w14:textFill>
              </w:rPr>
            </w:pPr>
            <w:r>
              <w:rPr>
                <w:rFonts w:hint="eastAsia" w:ascii="黑体" w:hAnsi="黑体" w:eastAsia="黑体" w:cs="黑体"/>
                <w:color w:val="000000" w:themeColor="text1"/>
                <w:sz w:val="24"/>
                <w:szCs w:val="24"/>
                <w:highlight w:val="none"/>
                <w14:textFill>
                  <w14:solidFill>
                    <w14:schemeClr w14:val="tx1"/>
                  </w14:solidFill>
                </w14:textFill>
              </w:rPr>
              <w:t>属性</w:t>
            </w:r>
          </w:p>
        </w:tc>
      </w:tr>
      <w:tr>
        <w:tblPrEx>
          <w:tblCellMar>
            <w:top w:w="0" w:type="dxa"/>
            <w:left w:w="108" w:type="dxa"/>
            <w:bottom w:w="0" w:type="dxa"/>
            <w:right w:w="108" w:type="dxa"/>
          </w:tblCellMar>
        </w:tblPrEx>
        <w:trPr>
          <w:trHeight w:val="510" w:hRule="exact"/>
          <w:jc w:val="center"/>
        </w:trPr>
        <w:tc>
          <w:tcPr>
            <w:tcW w:w="57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农业</w:t>
            </w:r>
          </w:p>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高质</w:t>
            </w:r>
          </w:p>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高效</w:t>
            </w: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粮食综合生产能力（万吨）</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72.2</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72.6</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约束性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农产品质量安全例行监测合格率（%）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96</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98</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畜禽规模养殖比重（%）</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74</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90</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水产健康养殖示范面积比重（%）</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75</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80</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高标准农田建设面积（万亩）</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66.48</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84.48</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农作物耕种收综合机械化率（%）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92.5</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95.5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农田有效灌溉面积（万亩）</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80.5</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85.6</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农业科技进步贡献率（%）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62</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65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农业灌溉水有效利用系数</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64</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65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畜禽粪污综合利用率（%）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86.7</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90</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农作物秸秆综合利用率（%）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92.26</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96.5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乡村</w:t>
            </w:r>
          </w:p>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宜居</w:t>
            </w:r>
          </w:p>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宜业</w:t>
            </w: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农村生活垃圾无害化处理率（%）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100</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100</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农村生活污水治理村庄覆盖率（%）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55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农村自来水普及率（%）</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ind w:firstLine="480" w:firstLineChars="200"/>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96</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99.5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村内道路硬化村庄占比（%）</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100</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100</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1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县级及以上文明村和乡镇占比（%）</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80</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850"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农村义务教育学校专任教师本科以上</w:t>
            </w:r>
            <w:r>
              <w:rPr>
                <w:rFonts w:hint="eastAsia" w:ascii="仿宋_GB2312" w:hAnsi="仿宋_GB2312" w:eastAsia="仿宋_GB2312" w:cs="Times New Roman"/>
                <w:color w:val="000000" w:themeColor="text1"/>
                <w:sz w:val="24"/>
                <w:szCs w:val="24"/>
                <w:highlight w:val="none"/>
                <w14:textFill>
                  <w14:solidFill>
                    <w14:schemeClr w14:val="tx1"/>
                  </w14:solidFill>
                </w14:textFill>
              </w:rPr>
              <w:t>学历</w:t>
            </w:r>
          </w:p>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比例（%）</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71.81</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85</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67" w:hRule="exact"/>
          <w:jc w:val="center"/>
        </w:trPr>
        <w:tc>
          <w:tcPr>
            <w:tcW w:w="57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农民</w:t>
            </w:r>
          </w:p>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富裕</w:t>
            </w:r>
          </w:p>
          <w:p>
            <w:pPr>
              <w:spacing w:line="500" w:lineRule="exact"/>
              <w:jc w:val="center"/>
              <w:rPr>
                <w:rFonts w:ascii="楷体_GB2312" w:hAnsi="楷体_GB2312" w:eastAsia="楷体_GB2312" w:cs="楷体_GB2312"/>
                <w:color w:val="000000" w:themeColor="text1"/>
                <w:sz w:val="24"/>
                <w:szCs w:val="24"/>
                <w:highlight w:val="none"/>
                <w14:textFill>
                  <w14:solidFill>
                    <w14:schemeClr w14:val="tx1"/>
                  </w14:solidFill>
                </w14:textFill>
              </w:rPr>
            </w:pPr>
            <w:r>
              <w:rPr>
                <w:rFonts w:hint="eastAsia" w:ascii="楷体_GB2312" w:hAnsi="楷体_GB2312" w:eastAsia="楷体_GB2312" w:cs="楷体_GB2312"/>
                <w:color w:val="000000" w:themeColor="text1"/>
                <w:sz w:val="24"/>
                <w:szCs w:val="24"/>
                <w:highlight w:val="none"/>
                <w14:textFill>
                  <w14:solidFill>
                    <w14:schemeClr w14:val="tx1"/>
                  </w14:solidFill>
                </w14:textFill>
              </w:rPr>
              <w:t>富足</w:t>
            </w: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农村居民人均可支配收入增速（%）</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5.8</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6.8</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67"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tcPr>
          <w:p>
            <w:pPr>
              <w:rPr>
                <w:rFonts w:ascii="仿宋_GB2312" w:hAnsi="仿宋_GB2312" w:eastAsia="仿宋_GB2312" w:cs="Times New Roman"/>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农民居民教育文化娱乐消费支出占比（%）</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8.7</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9.7</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r>
        <w:tblPrEx>
          <w:tblCellMar>
            <w:top w:w="0" w:type="dxa"/>
            <w:left w:w="108" w:type="dxa"/>
            <w:bottom w:w="0" w:type="dxa"/>
            <w:right w:w="108" w:type="dxa"/>
          </w:tblCellMar>
        </w:tblPrEx>
        <w:trPr>
          <w:trHeight w:val="567" w:hRule="exact"/>
          <w:jc w:val="center"/>
        </w:trPr>
        <w:tc>
          <w:tcPr>
            <w:tcW w:w="578" w:type="pct"/>
            <w:vMerge w:val="continue"/>
            <w:tcBorders>
              <w:top w:val="single" w:color="000000" w:sz="4" w:space="0"/>
              <w:left w:val="single" w:color="000000" w:sz="4" w:space="0"/>
              <w:bottom w:val="single" w:color="000000" w:sz="4" w:space="0"/>
              <w:right w:val="single" w:color="000000" w:sz="4" w:space="0"/>
              <w:tl2br w:val="nil"/>
              <w:tr2bl w:val="nil"/>
            </w:tcBorders>
          </w:tcPr>
          <w:p>
            <w:pPr>
              <w:rPr>
                <w:rFonts w:ascii="仿宋_GB2312" w:hAnsi="仿宋_GB2312" w:eastAsia="仿宋_GB2312" w:cs="Times New Roman"/>
                <w:color w:val="000000" w:themeColor="text1"/>
                <w:sz w:val="24"/>
                <w:szCs w:val="24"/>
                <w:highlight w:val="none"/>
                <w14:textFill>
                  <w14:solidFill>
                    <w14:schemeClr w14:val="tx1"/>
                  </w14:solidFill>
                </w14:textFill>
              </w:rPr>
            </w:pPr>
          </w:p>
        </w:tc>
        <w:tc>
          <w:tcPr>
            <w:tcW w:w="2685"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村集体经济收入达到10万元以上村占比（%）</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40</w:t>
            </w:r>
          </w:p>
        </w:tc>
        <w:tc>
          <w:tcPr>
            <w:tcW w:w="58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color w:val="000000" w:themeColor="text1"/>
                <w:sz w:val="24"/>
                <w:szCs w:val="24"/>
                <w:highlight w:val="none"/>
                <w14:textFill>
                  <w14:solidFill>
                    <w14:schemeClr w14:val="tx1"/>
                  </w14:solidFill>
                </w14:textFill>
              </w:rPr>
              <w:t>70</w:t>
            </w:r>
          </w:p>
        </w:tc>
        <w:tc>
          <w:tcPr>
            <w:tcW w:w="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color w:val="000000" w:themeColor="text1"/>
                <w:sz w:val="24"/>
                <w:szCs w:val="24"/>
                <w:highlight w:val="none"/>
                <w14:textFill>
                  <w14:solidFill>
                    <w14:schemeClr w14:val="tx1"/>
                  </w14:solidFill>
                </w14:textFill>
              </w:rPr>
              <w:t>预期性</w:t>
            </w:r>
          </w:p>
        </w:tc>
      </w:tr>
    </w:tbl>
    <w:p>
      <w:pPr>
        <w:spacing w:line="560" w:lineRule="exact"/>
        <w:rPr>
          <w:rFonts w:ascii="仿宋_GB2312" w:hAnsi="仿宋_GB2312"/>
          <w:color w:val="000000" w:themeColor="text1"/>
          <w:sz w:val="24"/>
          <w:szCs w:val="24"/>
          <w:highlight w:val="none"/>
          <w14:textFill>
            <w14:solidFill>
              <w14:schemeClr w14:val="tx1"/>
            </w14:solidFill>
          </w14:textFill>
        </w:rPr>
        <w:sectPr>
          <w:footerReference r:id="rId9" w:type="default"/>
          <w:pgSz w:w="11910" w:h="16840"/>
          <w:pgMar w:top="1701" w:right="1587" w:bottom="1587" w:left="1587" w:header="0" w:footer="992" w:gutter="0"/>
          <w:pgNumType w:fmt="numberInDash" w:start="1"/>
          <w:cols w:space="720" w:num="1"/>
        </w:sectPr>
      </w:pPr>
    </w:p>
    <w:p>
      <w:pPr>
        <w:overflowPunct w:val="0"/>
        <w:spacing w:line="600" w:lineRule="exact"/>
        <w:ind w:firstLine="640" w:firstLineChars="200"/>
        <w:rPr>
          <w:rFonts w:ascii="仿宋_GB2312" w:hAnsi="仿宋_GB2312" w:eastAsia="黑体" w:cs="黑体"/>
          <w:color w:val="000000" w:themeColor="text1"/>
          <w:sz w:val="32"/>
          <w:szCs w:val="24"/>
          <w:highlight w:val="none"/>
          <w14:textFill>
            <w14:solidFill>
              <w14:schemeClr w14:val="tx1"/>
            </w14:solidFill>
          </w14:textFill>
        </w:rPr>
      </w:pPr>
      <w:r>
        <w:rPr>
          <w:rFonts w:hint="eastAsia" w:ascii="仿宋_GB2312" w:hAnsi="仿宋_GB2312" w:eastAsia="黑体" w:cs="黑体"/>
          <w:color w:val="000000" w:themeColor="text1"/>
          <w:sz w:val="32"/>
          <w:szCs w:val="24"/>
          <w:highlight w:val="none"/>
          <w14:textFill>
            <w14:solidFill>
              <w14:schemeClr w14:val="tx1"/>
            </w14:solidFill>
          </w14:textFill>
        </w:rPr>
        <w:t>四、十大重点任务</w:t>
      </w:r>
    </w:p>
    <w:p>
      <w:pPr>
        <w:overflowPunct w:val="0"/>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（一）夯实农业生产基础，提高粮食等重要农产品供给保障水平</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1.健全粮食安全保障机制。</w:t>
      </w:r>
      <w:r>
        <w:rPr>
          <w:rFonts w:ascii="仿宋_GB2312" w:hAnsi="仿宋_GB2312" w:eastAsia="仿宋_GB2312" w:cs="Times New Roman"/>
          <w:color w:val="000000" w:themeColor="text1"/>
          <w:sz w:val="32"/>
          <w:szCs w:val="32"/>
          <w:highlight w:val="none"/>
          <w14:textFill>
            <w14:solidFill>
              <w14:schemeClr w14:val="tx1"/>
            </w14:solidFill>
          </w14:textFill>
        </w:rPr>
        <w:t>落实粮食安全党政同责，落实各项强农稳粮政策，强化粮食质量安全保障，稳定粮食播种面积，实施优质粮食工程，</w:t>
      </w:r>
      <w:r>
        <w:rPr>
          <w:rFonts w:hint="eastAsia" w:ascii="仿宋_GB2312" w:hAnsi="仿宋_GB2312" w:eastAsia="仿宋_GB2312" w:cs="Times New Roman"/>
          <w:color w:val="000000" w:themeColor="text1"/>
          <w:sz w:val="32"/>
          <w:szCs w:val="32"/>
          <w:highlight w:val="none"/>
          <w14:textFill>
            <w14:solidFill>
              <w14:schemeClr w14:val="tx1"/>
            </w14:solidFill>
          </w14:textFill>
        </w:rPr>
        <w:t>推进</w:t>
      </w:r>
      <w:r>
        <w:rPr>
          <w:rFonts w:ascii="仿宋_GB2312" w:hAnsi="仿宋_GB2312" w:eastAsia="仿宋_GB2312" w:cs="Times New Roman"/>
          <w:color w:val="000000" w:themeColor="text1"/>
          <w:sz w:val="32"/>
          <w:szCs w:val="32"/>
          <w:highlight w:val="none"/>
          <w14:textFill>
            <w14:solidFill>
              <w14:schemeClr w14:val="tx1"/>
            </w14:solidFill>
          </w14:textFill>
        </w:rPr>
        <w:t>吨粮</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建设，加快建设高标准农田，开展粮食绿色高质高效创建，强化技术和模式攻关，选育推广高产、优质、多抗粮食新品种，推进粮食绿色生产。到2025年，全</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粮食综合生产能力稳定在</w:t>
      </w:r>
      <w:r>
        <w:rPr>
          <w:rFonts w:hint="eastAsia" w:ascii="仿宋_GB2312" w:hAnsi="仿宋_GB2312" w:eastAsia="仿宋_GB2312" w:cs="Times New Roman"/>
          <w:color w:val="000000" w:themeColor="text1"/>
          <w:sz w:val="32"/>
          <w:szCs w:val="32"/>
          <w:highlight w:val="none"/>
          <w14:textFill>
            <w14:solidFill>
              <w14:schemeClr w14:val="tx1"/>
            </w14:solidFill>
          </w14:textFill>
        </w:rPr>
        <w:t>72.6</w:t>
      </w:r>
      <w:r>
        <w:rPr>
          <w:rFonts w:ascii="仿宋_GB2312" w:hAnsi="仿宋_GB2312" w:eastAsia="仿宋_GB2312" w:cs="Times New Roman"/>
          <w:color w:val="000000" w:themeColor="text1"/>
          <w:sz w:val="32"/>
          <w:szCs w:val="32"/>
          <w:highlight w:val="none"/>
          <w14:textFill>
            <w14:solidFill>
              <w14:schemeClr w14:val="tx1"/>
            </w14:solidFill>
          </w14:textFill>
        </w:rPr>
        <w:t>万吨</w:t>
      </w:r>
      <w:r>
        <w:rPr>
          <w:rFonts w:hint="eastAsia" w:ascii="仿宋_GB2312" w:hAnsi="仿宋_GB2312" w:eastAsia="仿宋_GB2312" w:cs="Times New Roman"/>
          <w:color w:val="000000" w:themeColor="text1"/>
          <w:sz w:val="32"/>
          <w:szCs w:val="32"/>
          <w:highlight w:val="none"/>
          <w14:textFill>
            <w14:solidFill>
              <w14:schemeClr w14:val="tx1"/>
            </w14:solidFill>
          </w14:textFill>
        </w:rPr>
        <w:t>左右。</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（县农业农村局、县发改局牵头，县财政局、县科技局等配合）</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hint="eastAsia" w:ascii="仿宋_GB2312" w:hAnsi="仿宋_GB2312" w:eastAsia="仿宋_GB2312" w:cs="Times New Roman"/>
          <w:b/>
          <w:bCs/>
          <w:color w:val="000000" w:themeColor="text1"/>
          <w:sz w:val="32"/>
          <w:szCs w:val="24"/>
          <w:highlight w:val="none"/>
          <w14:textFill>
            <w14:solidFill>
              <w14:schemeClr w14:val="tx1"/>
            </w14:solidFill>
          </w14:textFill>
        </w:rPr>
        <w:t>2.加强耕地保护和建设。</w:t>
      </w:r>
      <w:r>
        <w:rPr>
          <w:rFonts w:ascii="仿宋_GB2312" w:hAnsi="仿宋_GB2312" w:eastAsia="仿宋_GB2312" w:cs="Times New Roman"/>
          <w:color w:val="000000" w:themeColor="text1"/>
          <w:sz w:val="32"/>
          <w:szCs w:val="24"/>
          <w:highlight w:val="none"/>
          <w14:textFill>
            <w14:solidFill>
              <w14:schemeClr w14:val="tx1"/>
            </w14:solidFill>
          </w14:textFill>
        </w:rPr>
        <w:t>严守生态红线，强化耕地管控，压实耕地保护主体责任，落实最严格的耕地保护制度。严控耕地转为林地、园地等其他类型农用地和非耕地，严控非农建设占用耕地，坚决遏制耕地“非农化”、防止“非粮化”。</w:t>
      </w:r>
      <w:r>
        <w:rPr>
          <w:rFonts w:hint="eastAsia" w:ascii="仿宋_GB2312" w:hAnsi="仿宋_GB2312" w:eastAsia="仿宋_GB2312" w:cs="Times New Roman"/>
          <w:color w:val="000000" w:themeColor="text1"/>
          <w:sz w:val="32"/>
          <w:szCs w:val="24"/>
          <w:highlight w:val="none"/>
          <w14:textFill>
            <w14:solidFill>
              <w14:schemeClr w14:val="tx1"/>
            </w14:solidFill>
          </w14:textFill>
        </w:rPr>
        <w:t>稳妥推进李庄镇万亩海棠清理工作，2024年底完成腾退任务。</w:t>
      </w:r>
      <w:r>
        <w:rPr>
          <w:rFonts w:ascii="仿宋_GB2312" w:hAnsi="仿宋_GB2312" w:eastAsia="仿宋_GB2312" w:cs="Times New Roman"/>
          <w:color w:val="000000" w:themeColor="text1"/>
          <w:sz w:val="32"/>
          <w:szCs w:val="24"/>
          <w:highlight w:val="none"/>
          <w14:textFill>
            <w14:solidFill>
              <w14:schemeClr w14:val="tx1"/>
            </w14:solidFill>
          </w14:textFill>
        </w:rPr>
        <w:t>严格永久性基本农田管理，确保“两区”范围内耕地数量不减少、质量不降低。实施新一轮高标准农田建设规划，统筹开展高效节水灌溉工程与高标准农田建设。建立健全耕地保护补偿和激励机制，激发耕地保护积极性，构建数量、质量、生态“三位一体”的耕地保护体系。</w:t>
      </w:r>
      <w:r>
        <w:rPr>
          <w:rFonts w:ascii="仿宋_GB2312" w:hAnsi="仿宋_GB2312" w:eastAsia="仿宋_GB2312" w:cs="Times New Roman"/>
          <w:color w:val="000000" w:themeColor="text1"/>
          <w:sz w:val="32"/>
          <w:szCs w:val="32"/>
          <w:highlight w:val="none"/>
          <w14:textFill>
            <w14:solidFill>
              <w14:schemeClr w14:val="tx1"/>
            </w14:solidFill>
          </w14:textFill>
        </w:rPr>
        <w:t>开展新一轮耕地质量保护与提升行动，推广保护性耕作模式</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hint="eastAsia" w:ascii="仿宋_GB2312" w:hAnsi="仿宋_GB2312" w:eastAsia="仿宋_GB2312" w:cs="Times New Roman"/>
          <w:color w:val="000000" w:themeColor="text1"/>
          <w:sz w:val="32"/>
          <w:szCs w:val="24"/>
          <w:highlight w:val="none"/>
          <w14:textFill>
            <w14:solidFill>
              <w14:schemeClr w14:val="tx1"/>
            </w14:solidFill>
          </w14:textFill>
        </w:rPr>
        <w:t>稳步推进耕地轮作休耕</w:t>
      </w:r>
      <w:r>
        <w:rPr>
          <w:rFonts w:ascii="仿宋_GB2312" w:hAnsi="仿宋_GB2312" w:eastAsia="仿宋_GB2312" w:cs="Times New Roman"/>
          <w:color w:val="000000" w:themeColor="text1"/>
          <w:sz w:val="32"/>
          <w:szCs w:val="24"/>
          <w:highlight w:val="none"/>
          <w14:textFill>
            <w14:solidFill>
              <w14:schemeClr w14:val="tx1"/>
            </w14:solidFill>
          </w14:textFill>
        </w:rPr>
        <w:t>。加强耕地质</w:t>
      </w:r>
      <w:r>
        <w:rPr>
          <w:rFonts w:ascii="仿宋_GB2312" w:hAnsi="仿宋_GB2312" w:eastAsia="仿宋_GB2312" w:cs="Times New Roman"/>
          <w:color w:val="000000" w:themeColor="text1"/>
          <w:sz w:val="32"/>
          <w:szCs w:val="32"/>
          <w:highlight w:val="none"/>
          <w14:textFill>
            <w14:solidFill>
              <w14:schemeClr w14:val="tx1"/>
            </w14:solidFill>
          </w14:textFill>
        </w:rPr>
        <w:t>量动态监测与评价，推进耕地质量监测点位涉农</w:t>
      </w:r>
      <w:r>
        <w:rPr>
          <w:rFonts w:hint="eastAsia" w:ascii="仿宋_GB2312" w:hAnsi="仿宋_GB2312" w:eastAsia="仿宋_GB2312" w:cs="Times New Roman"/>
          <w:color w:val="000000" w:themeColor="text1"/>
          <w:sz w:val="32"/>
          <w:szCs w:val="32"/>
          <w:highlight w:val="none"/>
          <w14:textFill>
            <w14:solidFill>
              <w14:schemeClr w14:val="tx1"/>
            </w14:solidFill>
          </w14:textFill>
        </w:rPr>
        <w:t>乡镇</w:t>
      </w:r>
      <w:r>
        <w:rPr>
          <w:rFonts w:ascii="仿宋_GB2312" w:hAnsi="仿宋_GB2312" w:eastAsia="仿宋_GB2312" w:cs="Times New Roman"/>
          <w:color w:val="000000" w:themeColor="text1"/>
          <w:sz w:val="32"/>
          <w:szCs w:val="32"/>
          <w:highlight w:val="none"/>
          <w14:textFill>
            <w14:solidFill>
              <w14:schemeClr w14:val="tx1"/>
            </w14:solidFill>
          </w14:textFill>
        </w:rPr>
        <w:t>全覆盖</w:t>
      </w:r>
      <w:r>
        <w:rPr>
          <w:rFonts w:hint="eastAsia" w:ascii="仿宋_GB2312" w:hAnsi="仿宋_GB2312" w:eastAsia="仿宋_GB2312" w:cs="Times New Roman"/>
          <w:color w:val="000000" w:themeColor="text1"/>
          <w:sz w:val="32"/>
          <w:szCs w:val="32"/>
          <w:highlight w:val="none"/>
          <w14:textFill>
            <w14:solidFill>
              <w14:schemeClr w14:val="tx1"/>
            </w14:solidFill>
          </w14:textFill>
        </w:rPr>
        <w:t>（18个国控监测点位，42个省控点位）</w:t>
      </w:r>
      <w:r>
        <w:rPr>
          <w:rFonts w:ascii="仿宋_GB2312" w:hAnsi="仿宋_GB2312" w:eastAsia="仿宋_GB2312" w:cs="Times New Roman"/>
          <w:color w:val="000000" w:themeColor="text1"/>
          <w:sz w:val="32"/>
          <w:szCs w:val="32"/>
          <w:highlight w:val="none"/>
          <w14:textFill>
            <w14:solidFill>
              <w14:schemeClr w14:val="tx1"/>
            </w14:solidFill>
          </w14:textFill>
        </w:rPr>
        <w:t>。对全</w:t>
      </w:r>
      <w:r>
        <w:rPr>
          <w:rFonts w:hint="eastAsia" w:ascii="仿宋_GB2312" w:hAnsi="仿宋_GB2312" w:eastAsia="仿宋_GB2312" w:cs="Times New Roman"/>
          <w:color w:val="000000" w:themeColor="text1"/>
          <w:sz w:val="32"/>
          <w:szCs w:val="32"/>
          <w:highlight w:val="none"/>
          <w14:textFill>
            <w14:solidFill>
              <w14:schemeClr w14:val="tx1"/>
            </w14:solidFill>
          </w14:textFill>
        </w:rPr>
        <w:t>县</w:t>
      </w:r>
      <w:r>
        <w:rPr>
          <w:rFonts w:ascii="仿宋_GB2312" w:hAnsi="仿宋_GB2312" w:eastAsia="仿宋_GB2312" w:cs="Times New Roman"/>
          <w:color w:val="000000" w:themeColor="text1"/>
          <w:sz w:val="32"/>
          <w:szCs w:val="32"/>
          <w:highlight w:val="none"/>
          <w14:textFill>
            <w14:solidFill>
              <w14:schemeClr w14:val="tx1"/>
            </w14:solidFill>
          </w14:textFill>
        </w:rPr>
        <w:t>耕地土壤环境质量实施分类管理，落实优先保护、安全利用和严格管控措施；开展耕地土壤环境质量监测预警和拟开垦为耕地地块土壤污染状况调查，建立健全耕地土壤环境质量监测网络，确保农产品产地环境安全和农产品质量安全</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hint="eastAsia" w:ascii="仿宋_GB2312" w:hAnsi="仿宋_GB2312" w:eastAsia="楷体_GB2312" w:cs="楷体_GB2312"/>
          <w:color w:val="000000" w:themeColor="text1"/>
          <w:sz w:val="32"/>
          <w:szCs w:val="24"/>
          <w:highlight w:val="none"/>
          <w14:textFill>
            <w14:solidFill>
              <w14:schemeClr w14:val="tx1"/>
            </w14:solidFill>
          </w14:textFill>
        </w:rPr>
        <w:t>（县自然资源和规划局、县农业农村局分别牵头，县发改局、县住建局、市生态环境局郯城县分局等配合）</w:t>
      </w:r>
    </w:p>
    <w:p>
      <w:pPr>
        <w:overflowPunct w:val="0"/>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3.加快畜牧业转型升级。</w:t>
      </w:r>
      <w:r>
        <w:rPr>
          <w:rFonts w:ascii="仿宋_GB2312" w:hAnsi="仿宋_GB2312" w:eastAsia="仿宋_GB2312" w:cs="Times New Roman"/>
          <w:color w:val="000000" w:themeColor="text1"/>
          <w:sz w:val="32"/>
          <w:szCs w:val="24"/>
          <w:highlight w:val="none"/>
          <w14:textFill>
            <w14:solidFill>
              <w14:schemeClr w14:val="tx1"/>
            </w14:solidFill>
          </w14:textFill>
        </w:rPr>
        <w:t>稳定畜牧业生产，推广标准化规模养殖。支持畜禽规模养殖场提高良种应用、设施装备、疫病防控、粪污处理水平，加快智能化、现代化装备普及应用；持续开展标准化养殖示范创建，每年创建市级以上标准化养殖示范场3家；推广家禽、生猪立体养殖，加快牛羊规模养殖。大力发展智慧畜牧业，打造优势产业集群。</w:t>
      </w:r>
      <w:r>
        <w:rPr>
          <w:rFonts w:hint="eastAsia" w:ascii="仿宋_GB2312" w:hAnsi="仿宋_GB2312" w:eastAsia="仿宋_GB2312" w:cs="Times New Roman"/>
          <w:sz w:val="32"/>
          <w:szCs w:val="24"/>
          <w:highlight w:val="none"/>
        </w:rPr>
        <w:t>积极扶持孵化、养殖、畜禽屠宰及畜禽产品加工、饲料生产等行业</w:t>
      </w:r>
      <w:r>
        <w:rPr>
          <w:rFonts w:hint="eastAsia" w:ascii="仿宋_GB2312" w:hAnsi="仿宋_GB2312" w:eastAsia="仿宋_GB2312" w:cs="Times New Roman"/>
          <w:color w:val="000000" w:themeColor="text1"/>
          <w:sz w:val="32"/>
          <w:szCs w:val="24"/>
          <w:highlight w:val="none"/>
          <w14:textFill>
            <w14:solidFill>
              <w14:schemeClr w14:val="tx1"/>
            </w14:solidFill>
          </w14:textFill>
        </w:rPr>
        <w:t>发展，</w:t>
      </w:r>
      <w:r>
        <w:rPr>
          <w:rFonts w:ascii="仿宋_GB2312" w:hAnsi="仿宋_GB2312" w:eastAsia="仿宋_GB2312" w:cs="Times New Roman"/>
          <w:color w:val="000000" w:themeColor="text1"/>
          <w:sz w:val="32"/>
          <w:szCs w:val="24"/>
          <w:highlight w:val="none"/>
          <w14:textFill>
            <w14:solidFill>
              <w14:schemeClr w14:val="tx1"/>
            </w14:solidFill>
          </w14:textFill>
        </w:rPr>
        <w:t>立足生猪、牛羊、家禽等资源优势，主攻精深加工，串联养殖、屠宰、饲料、物流和终端销售，打造链条完备、衔接紧密、纵横配套的全产业链。推进现代信息技术与畜牧业生产管理服务深度融合，加大畜牧生产数据智能获取、反馈控制技术及智能设备研究应用，提升现代畜牧业信息化支撑能力和科技水平。严控畜产品质量安全，加快畜禽屠宰企业提质升级。以瘦肉精、药物残留等突出问题隐患为重点，深入开展畜产品质量安全整治行动。推进屠宰企业工厂化屠宰、品牌化经营、冷链化流通、冰鲜化上市、一体化发展，加快实现新旧动能转换，促进屠宰行业转型升级，推动畜牧业持续健康发展。到“十四五”末，</w:t>
      </w:r>
      <w:r>
        <w:rPr>
          <w:rFonts w:ascii="仿宋_GB2312" w:hAnsi="仿宋_GB2312" w:eastAsia="仿宋_GB2312" w:cs="Times New Roman"/>
          <w:color w:val="000000" w:themeColor="text1"/>
          <w:sz w:val="32"/>
          <w:szCs w:val="32"/>
          <w:highlight w:val="none"/>
          <w14:textFill>
            <w14:solidFill>
              <w14:schemeClr w14:val="tx1"/>
            </w14:solidFill>
          </w14:textFill>
        </w:rPr>
        <w:t>全县大牲畜存栏达到5万头、出栏6万头，生猪存栏150万头、出栏300万头，家禽存栏5000万只、出栏3亿只，肉蛋奶总产量达80万吨，畜牧业产值过200亿元，规模化养殖比重达到90%，粪污综合利用率达到90%。</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（县农业农村局牵头，县市场监督管理局、县工信局等配合）</w:t>
      </w:r>
    </w:p>
    <w:p>
      <w:pPr>
        <w:overflowPunct w:val="0"/>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4.推进渔业绿色高质量发展。</w:t>
      </w:r>
      <w:r>
        <w:rPr>
          <w:rFonts w:hint="eastAsia" w:ascii="仿宋_GB2312" w:hAnsi="仿宋_GB2312" w:eastAsia="仿宋_GB2312" w:cs="仿宋_GB2312"/>
          <w:color w:val="000000" w:themeColor="text1"/>
          <w:sz w:val="32"/>
          <w:szCs w:val="24"/>
          <w:highlight w:val="none"/>
          <w14:textFill>
            <w14:solidFill>
              <w14:schemeClr w14:val="tx1"/>
            </w14:solidFill>
          </w14:textFill>
        </w:rPr>
        <w:t>发展生态渔业，建立沂蒙有机水产品生产基地。以生态安全、供给安全、产品安全、生产安全为核心，推进大水面生态养殖增殖、工厂化流水养殖、池塘标准化养殖等生态高效渔业，进一步落实养殖水域滩涂规划制度，优化养殖生产布局，保障养殖空间。</w:t>
      </w:r>
      <w:r>
        <w:rPr>
          <w:rFonts w:hint="eastAsia" w:ascii="仿宋_GB2312" w:hAnsi="仿宋_GB2312" w:eastAsia="仿宋_GB2312" w:cs="仿宋_GB2312"/>
          <w:color w:val="000000" w:themeColor="text1"/>
          <w:sz w:val="32"/>
          <w:szCs w:val="32"/>
          <w:highlight w:val="none"/>
          <w14:textFill>
            <w14:solidFill>
              <w14:schemeClr w14:val="tx1"/>
            </w14:solidFill>
          </w14:textFill>
        </w:rPr>
        <w:t>以县水产良种培育中心、恒平渔业农民专业合作社和益生养殖农民专业合作社</w:t>
      </w:r>
      <w:r>
        <w:rPr>
          <w:rFonts w:ascii="仿宋_GB2312" w:hAnsi="仿宋_GB2312" w:eastAsia="仿宋_GB2312" w:cs="Times New Roman"/>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家国家级健康养殖示范场为示范，带动全县健康养殖示范区建设。大力推广水库生态网箱养殖、池塘鱼菜共生养殖和稻虾综合生态养殖等健康养殖技术。大力实施水产绿色健康养殖技术推广“五大行动”，实现养殖尾水达</w:t>
      </w:r>
      <w:r>
        <w:rPr>
          <w:rFonts w:ascii="仿宋_GB2312" w:hAnsi="仿宋_GB2312" w:eastAsia="仿宋_GB2312" w:cs="Times New Roman"/>
          <w:color w:val="000000" w:themeColor="text1"/>
          <w:sz w:val="32"/>
          <w:szCs w:val="32"/>
          <w:highlight w:val="none"/>
          <w14:textFill>
            <w14:solidFill>
              <w14:schemeClr w14:val="tx1"/>
            </w14:solidFill>
          </w14:textFill>
        </w:rPr>
        <w:t>标排放、水产养殖用药保持在可控和安全范围</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提高全县水产良种覆盖率。加快老旧鱼塘改造、标准化鱼塘建设步伐，不断拓展养殖空间，提高资源利用率</w:t>
      </w:r>
      <w:r>
        <w:rPr>
          <w:rFonts w:ascii="仿宋_GB2312" w:hAnsi="仿宋_GB2312" w:eastAsia="仿宋_GB2312" w:cs="Times New Roman"/>
          <w:color w:val="000000" w:themeColor="text1"/>
          <w:sz w:val="32"/>
          <w:szCs w:val="24"/>
          <w:highlight w:val="none"/>
          <w14:textFill>
            <w14:solidFill>
              <w14:schemeClr w14:val="tx1"/>
            </w14:solidFill>
          </w14:textFill>
        </w:rPr>
        <w:t>。加强水产种质资源保护区管理，强化养殖环节投入品监管，建立水产品市场准入准出机制和质量追溯体系，建立健全水产健康养殖生产管理制度，研究推广绿色养殖技术和生产操作规程，加快推进养殖标准化进程。培育渔业区域公用品牌，宣传推介“</w:t>
      </w:r>
      <w:r>
        <w:rPr>
          <w:rFonts w:ascii="仿宋_GB2312" w:hAnsi="仿宋_GB2312" w:eastAsia="仿宋_GB2312" w:cs="Times New Roman"/>
          <w:color w:val="000000" w:themeColor="text1"/>
          <w:sz w:val="32"/>
          <w:szCs w:val="32"/>
          <w:highlight w:val="none"/>
          <w14:textFill>
            <w14:solidFill>
              <w14:schemeClr w14:val="tx1"/>
            </w14:solidFill>
          </w14:textFill>
        </w:rPr>
        <w:t>郯城狗鱼</w:t>
      </w:r>
      <w:r>
        <w:rPr>
          <w:rFonts w:ascii="仿宋_GB2312" w:hAnsi="仿宋_GB2312" w:eastAsia="仿宋_GB2312" w:cs="Times New Roman"/>
          <w:color w:val="000000" w:themeColor="text1"/>
          <w:sz w:val="32"/>
          <w:szCs w:val="24"/>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陆宇银鳕鱼</w:t>
      </w:r>
      <w:r>
        <w:rPr>
          <w:rFonts w:ascii="仿宋_GB2312" w:hAnsi="仿宋_GB2312" w:eastAsia="仿宋_GB2312" w:cs="Times New Roman"/>
          <w:color w:val="000000" w:themeColor="text1"/>
          <w:sz w:val="32"/>
          <w:szCs w:val="24"/>
          <w:highlight w:val="none"/>
          <w14:textFill>
            <w14:solidFill>
              <w14:schemeClr w14:val="tx1"/>
            </w14:solidFill>
          </w14:textFill>
        </w:rPr>
        <w:t>”等</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w:t>
      </w:r>
      <w:r>
        <w:rPr>
          <w:rFonts w:ascii="仿宋_GB2312" w:hAnsi="仿宋_GB2312" w:eastAsia="仿宋_GB2312" w:cs="Times New Roman"/>
          <w:color w:val="000000" w:themeColor="text1"/>
          <w:sz w:val="32"/>
          <w:szCs w:val="24"/>
          <w:highlight w:val="none"/>
          <w14:textFill>
            <w14:solidFill>
              <w14:schemeClr w14:val="tx1"/>
            </w14:solidFill>
          </w14:textFill>
        </w:rPr>
        <w:t>渔业品牌。</w:t>
      </w:r>
      <w:r>
        <w:rPr>
          <w:rFonts w:ascii="仿宋_GB2312" w:hAnsi="仿宋_GB2312" w:eastAsia="仿宋_GB2312" w:cs="Times New Roman"/>
          <w:color w:val="000000" w:themeColor="text1"/>
          <w:sz w:val="32"/>
          <w:szCs w:val="32"/>
          <w:highlight w:val="none"/>
          <w14:textFill>
            <w14:solidFill>
              <w14:schemeClr w14:val="tx1"/>
            </w14:solidFill>
          </w14:textFill>
        </w:rPr>
        <w:t>以姜湖贡米农业产业园为示范，</w:t>
      </w:r>
      <w:r>
        <w:rPr>
          <w:rFonts w:hint="eastAsia" w:ascii="仿宋_GB2312" w:hAnsi="仿宋_GB2312" w:eastAsia="仿宋_GB2312" w:cs="Times New Roman"/>
          <w:color w:val="000000" w:themeColor="text1"/>
          <w:sz w:val="32"/>
          <w:szCs w:val="32"/>
          <w:highlight w:val="none"/>
          <w14:textFill>
            <w14:solidFill>
              <w14:schemeClr w14:val="tx1"/>
            </w14:solidFill>
          </w14:textFill>
        </w:rPr>
        <w:t>大力发展稻虾共作，</w:t>
      </w:r>
      <w:r>
        <w:rPr>
          <w:rFonts w:ascii="仿宋_GB2312" w:hAnsi="仿宋_GB2312" w:eastAsia="仿宋_GB2312" w:cs="Times New Roman"/>
          <w:color w:val="000000" w:themeColor="text1"/>
          <w:sz w:val="32"/>
          <w:szCs w:val="32"/>
          <w:highlight w:val="none"/>
          <w14:textFill>
            <w14:solidFill>
              <w14:schemeClr w14:val="tx1"/>
            </w14:solidFill>
          </w14:textFill>
        </w:rPr>
        <w:t>引导农民打造一批公园式基地、园林式庭院、生态式乡村，形成以养鱼、钓鱼、品鱼、观鱼、购鱼为主要内容的休闲渔业，促进水产养殖业与休闲娱乐、旅游度假、餐饮服务业融合发展。充分调动全社会支持、参与的积极性，组织开展形式多样的增殖放流活动</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24"/>
          <w:highlight w:val="none"/>
          <w14:textFill>
            <w14:solidFill>
              <w14:schemeClr w14:val="tx1"/>
            </w14:solidFill>
          </w14:textFill>
        </w:rPr>
        <w:t>到2025年，全</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水产品总产量稳定在</w:t>
      </w:r>
      <w:r>
        <w:rPr>
          <w:rFonts w:hint="eastAsia" w:ascii="仿宋_GB2312" w:hAnsi="仿宋_GB2312" w:eastAsia="仿宋_GB2312" w:cs="Times New Roman"/>
          <w:color w:val="000000" w:themeColor="text1"/>
          <w:sz w:val="32"/>
          <w:szCs w:val="24"/>
          <w:highlight w:val="none"/>
          <w14:textFill>
            <w14:solidFill>
              <w14:schemeClr w14:val="tx1"/>
            </w14:solidFill>
          </w14:textFill>
        </w:rPr>
        <w:t>3</w:t>
      </w:r>
      <w:r>
        <w:rPr>
          <w:rFonts w:ascii="仿宋_GB2312" w:hAnsi="仿宋_GB2312" w:eastAsia="仿宋_GB2312" w:cs="Times New Roman"/>
          <w:color w:val="000000" w:themeColor="text1"/>
          <w:sz w:val="32"/>
          <w:szCs w:val="24"/>
          <w:highlight w:val="none"/>
          <w14:textFill>
            <w14:solidFill>
              <w14:schemeClr w14:val="tx1"/>
            </w14:solidFill>
          </w14:textFill>
        </w:rPr>
        <w:t>万吨左右</w:t>
      </w:r>
      <w:r>
        <w:rPr>
          <w:rFonts w:hint="eastAsia" w:ascii="仿宋_GB2312" w:hAnsi="仿宋_GB2312" w:eastAsia="仿宋_GB2312" w:cs="Times New Roman"/>
          <w:color w:val="000000" w:themeColor="text1"/>
          <w:sz w:val="32"/>
          <w:szCs w:val="24"/>
          <w:highlight w:val="none"/>
          <w14:textFill>
            <w14:solidFill>
              <w14:schemeClr w14:val="tx1"/>
            </w14:solidFill>
          </w14:textFill>
        </w:rPr>
        <w:t>，经济产值达到4.2亿元以上，</w:t>
      </w:r>
      <w:r>
        <w:rPr>
          <w:rFonts w:ascii="仿宋_GB2312" w:hAnsi="仿宋_GB2312" w:eastAsia="仿宋_GB2312" w:cs="Times New Roman"/>
          <w:color w:val="000000" w:themeColor="text1"/>
          <w:sz w:val="32"/>
          <w:szCs w:val="32"/>
          <w:highlight w:val="none"/>
          <w14:textFill>
            <w14:solidFill>
              <w14:schemeClr w14:val="tx1"/>
            </w14:solidFill>
          </w14:textFill>
        </w:rPr>
        <w:t>国家级渔业生态健康养殖示范区（县）创建成功</w:t>
      </w:r>
      <w:r>
        <w:rPr>
          <w:rFonts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（县农业农村局牵头，县市场监督管理局等配合）</w:t>
      </w:r>
    </w:p>
    <w:p>
      <w:pPr>
        <w:overflowPunct w:val="0"/>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5.做大做强</w:t>
      </w:r>
      <w:r>
        <w:rPr>
          <w:rFonts w:hint="eastAsia" w:ascii="仿宋_GB2312" w:hAnsi="仿宋_GB2312" w:eastAsia="仿宋_GB2312" w:cs="Times New Roman"/>
          <w:b/>
          <w:bCs/>
          <w:color w:val="000000" w:themeColor="text1"/>
          <w:sz w:val="32"/>
          <w:szCs w:val="24"/>
          <w:highlight w:val="none"/>
          <w14:textFill>
            <w14:solidFill>
              <w14:schemeClr w14:val="tx1"/>
            </w14:solidFill>
          </w14:textFill>
        </w:rPr>
        <w:t>林果</w:t>
      </w:r>
      <w:r>
        <w:rPr>
          <w:rFonts w:ascii="仿宋_GB2312" w:hAnsi="仿宋_GB2312" w:eastAsia="仿宋_GB2312" w:cs="Times New Roman"/>
          <w:b/>
          <w:bCs/>
          <w:color w:val="000000" w:themeColor="text1"/>
          <w:sz w:val="32"/>
          <w:szCs w:val="24"/>
          <w:highlight w:val="none"/>
          <w14:textFill>
            <w14:solidFill>
              <w14:schemeClr w14:val="tx1"/>
            </w14:solidFill>
          </w14:textFill>
        </w:rPr>
        <w:t>产业。</w:t>
      </w:r>
      <w:r>
        <w:rPr>
          <w:rFonts w:hint="eastAsia" w:ascii="仿宋_GB2312" w:hAnsi="仿宋_GB2312" w:eastAsia="仿宋_GB2312" w:cs="Times New Roman"/>
          <w:sz w:val="32"/>
          <w:szCs w:val="24"/>
          <w:highlight w:val="none"/>
        </w:rPr>
        <w:t>持续壮大银杏特色产业，</w:t>
      </w:r>
      <w:r>
        <w:rPr>
          <w:rFonts w:ascii="仿宋_GB2312" w:hAnsi="仿宋_GB2312" w:eastAsia="仿宋_GB2312" w:cs="Times New Roman"/>
          <w:sz w:val="32"/>
          <w:szCs w:val="24"/>
          <w:highlight w:val="none"/>
        </w:rPr>
        <w:t>按照“一年有起色，三年有成效，五年成体系”的总体要求，加大</w:t>
      </w:r>
      <w:r>
        <w:rPr>
          <w:rFonts w:hint="eastAsia" w:ascii="仿宋_GB2312" w:hAnsi="仿宋_GB2312" w:eastAsia="仿宋_GB2312" w:cs="Times New Roman"/>
          <w:sz w:val="32"/>
          <w:szCs w:val="24"/>
          <w:highlight w:val="none"/>
        </w:rPr>
        <w:t>银杏</w:t>
      </w:r>
      <w:r>
        <w:rPr>
          <w:rFonts w:ascii="仿宋_GB2312" w:hAnsi="仿宋_GB2312" w:eastAsia="仿宋_GB2312" w:cs="Times New Roman"/>
          <w:sz w:val="32"/>
          <w:szCs w:val="24"/>
          <w:highlight w:val="none"/>
        </w:rPr>
        <w:t>产业结构调整，大力发展银杏果生产种植基地和银杏叶生产种植基地，开展优质银杏苗木繁育和银杏林下立体种养示范</w:t>
      </w:r>
      <w:r>
        <w:rPr>
          <w:rFonts w:hint="eastAsia" w:ascii="仿宋_GB2312" w:hAnsi="仿宋_GB2312" w:eastAsia="仿宋_GB2312" w:cs="Times New Roman"/>
          <w:sz w:val="32"/>
          <w:szCs w:val="24"/>
          <w:highlight w:val="none"/>
        </w:rPr>
        <w:t>。</w:t>
      </w:r>
      <w:r>
        <w:rPr>
          <w:rFonts w:ascii="仿宋_GB2312" w:hAnsi="仿宋_GB2312" w:eastAsia="仿宋_GB2312" w:cs="Times New Roman"/>
          <w:sz w:val="32"/>
          <w:szCs w:val="24"/>
          <w:highlight w:val="none"/>
        </w:rPr>
        <w:t>到2025年，银杏种植面积达到</w:t>
      </w:r>
      <w:r>
        <w:rPr>
          <w:rFonts w:hint="eastAsia" w:ascii="仿宋_GB2312" w:hAnsi="仿宋_GB2312" w:eastAsia="仿宋_GB2312" w:cs="Times New Roman"/>
          <w:sz w:val="32"/>
          <w:szCs w:val="24"/>
          <w:highlight w:val="none"/>
        </w:rPr>
        <w:t>35</w:t>
      </w:r>
      <w:r>
        <w:rPr>
          <w:rFonts w:ascii="仿宋_GB2312" w:hAnsi="仿宋_GB2312" w:eastAsia="仿宋_GB2312" w:cs="Times New Roman"/>
          <w:sz w:val="32"/>
          <w:szCs w:val="24"/>
          <w:highlight w:val="none"/>
        </w:rPr>
        <w:t>万亩，总产值突破</w:t>
      </w:r>
      <w:r>
        <w:rPr>
          <w:rFonts w:hint="eastAsia" w:ascii="仿宋_GB2312" w:hAnsi="仿宋_GB2312" w:eastAsia="仿宋_GB2312" w:cs="Times New Roman"/>
          <w:sz w:val="32"/>
          <w:szCs w:val="24"/>
          <w:highlight w:val="none"/>
        </w:rPr>
        <w:t>10</w:t>
      </w:r>
      <w:r>
        <w:rPr>
          <w:rFonts w:ascii="仿宋_GB2312" w:hAnsi="仿宋_GB2312" w:eastAsia="仿宋_GB2312" w:cs="Times New Roman"/>
          <w:sz w:val="32"/>
          <w:szCs w:val="24"/>
          <w:highlight w:val="none"/>
        </w:rPr>
        <w:t>亿元以上。规模以上加工企业达到</w:t>
      </w:r>
      <w:r>
        <w:rPr>
          <w:rFonts w:hint="eastAsia" w:ascii="仿宋_GB2312" w:hAnsi="仿宋_GB2312" w:eastAsia="仿宋_GB2312" w:cs="Times New Roman"/>
          <w:sz w:val="32"/>
          <w:szCs w:val="24"/>
          <w:highlight w:val="none"/>
        </w:rPr>
        <w:t>10</w:t>
      </w:r>
      <w:r>
        <w:rPr>
          <w:rFonts w:ascii="仿宋_GB2312" w:hAnsi="仿宋_GB2312" w:eastAsia="仿宋_GB2312" w:cs="Times New Roman"/>
          <w:sz w:val="32"/>
          <w:szCs w:val="24"/>
          <w:highlight w:val="none"/>
        </w:rPr>
        <w:t>家以上，“三品一标”认证面积超过100%</w:t>
      </w:r>
      <w:r>
        <w:rPr>
          <w:rFonts w:hint="eastAsia" w:ascii="仿宋_GB2312" w:hAnsi="仿宋_GB2312" w:eastAsia="仿宋_GB2312" w:cs="Times New Roman"/>
          <w:sz w:val="32"/>
          <w:szCs w:val="24"/>
          <w:highlight w:val="none"/>
        </w:rPr>
        <w:t>。</w:t>
      </w:r>
      <w:r>
        <w:rPr>
          <w:rFonts w:ascii="仿宋_GB2312" w:hAnsi="仿宋_GB2312" w:eastAsia="仿宋_GB2312" w:cs="Times New Roman"/>
          <w:color w:val="000000" w:themeColor="text1"/>
          <w:sz w:val="32"/>
          <w:szCs w:val="24"/>
          <w:highlight w:val="none"/>
          <w14:textFill>
            <w14:solidFill>
              <w14:schemeClr w14:val="tx1"/>
            </w14:solidFill>
          </w14:textFill>
        </w:rPr>
        <w:t>突出果品地域产业特色，大力推行林果立体种植模式，发展林下种养业和观光采摘业，推动林地立体开发和林旅融合。以长三角地区农产品市场需求为导向，研究制定果品生产、加工、运输、供应、检验检测等标准，带动果品产业全链条升级。</w:t>
      </w:r>
      <w:r>
        <w:rPr>
          <w:rFonts w:hint="eastAsia" w:ascii="仿宋_GB2312" w:hAnsi="仿宋_GB2312" w:eastAsia="仿宋_GB2312" w:cs="Times New Roman"/>
          <w:color w:val="000000" w:themeColor="text1"/>
          <w:sz w:val="32"/>
          <w:szCs w:val="24"/>
          <w:highlight w:val="none"/>
          <w14:textFill>
            <w14:solidFill>
              <w14:schemeClr w14:val="tx1"/>
            </w14:solidFill>
          </w14:textFill>
        </w:rPr>
        <w:t>积极发展设施蔬菜，</w:t>
      </w:r>
      <w:r>
        <w:rPr>
          <w:rFonts w:ascii="仿宋_GB2312" w:hAnsi="仿宋_GB2312" w:eastAsia="仿宋_GB2312" w:cs="Times New Roman"/>
          <w:color w:val="000000" w:themeColor="text1"/>
          <w:sz w:val="32"/>
          <w:szCs w:val="24"/>
          <w:highlight w:val="none"/>
          <w14:textFill>
            <w14:solidFill>
              <w14:schemeClr w14:val="tx1"/>
            </w14:solidFill>
          </w14:textFill>
        </w:rPr>
        <w:t>建设蔬菜标准化生产示范基地和蔬菜集约化育苗基地，提高蔬菜标准化种植水平以及育苗技术、育苗质量。建设无性系茶树良种繁育基地，提高本地茶苗繁育能力，示范推广茶树新品种、新技术、新工艺，推进“农机+农技”融合，带动茶叶提质增效。多形式开展“</w:t>
      </w:r>
      <w:r>
        <w:rPr>
          <w:rFonts w:hint="eastAsia" w:ascii="仿宋_GB2312" w:hAnsi="仿宋_GB2312" w:eastAsia="仿宋_GB2312" w:cs="Times New Roman"/>
          <w:color w:val="000000" w:themeColor="text1"/>
          <w:sz w:val="32"/>
          <w:szCs w:val="24"/>
          <w:highlight w:val="none"/>
          <w14:textFill>
            <w14:solidFill>
              <w14:schemeClr w14:val="tx1"/>
            </w14:solidFill>
          </w14:textFill>
        </w:rPr>
        <w:t>马陵山</w:t>
      </w:r>
      <w:r>
        <w:rPr>
          <w:rFonts w:ascii="仿宋_GB2312" w:hAnsi="仿宋_GB2312" w:eastAsia="仿宋_GB2312" w:cs="Times New Roman"/>
          <w:color w:val="000000" w:themeColor="text1"/>
          <w:sz w:val="32"/>
          <w:szCs w:val="24"/>
          <w:highlight w:val="none"/>
          <w14:textFill>
            <w14:solidFill>
              <w14:schemeClr w14:val="tx1"/>
            </w14:solidFill>
          </w14:textFill>
        </w:rPr>
        <w:t>绿茶”区域公用品牌宣传和推介，加快茶产业融合发展，延伸产业链，增加附加值。</w:t>
      </w:r>
      <w:r>
        <w:rPr>
          <w:rFonts w:hint="eastAsia" w:ascii="仿宋_GB2312" w:hAnsi="仿宋_GB2312" w:eastAsia="楷体_GB2312" w:cs="楷体_GB2312"/>
          <w:color w:val="000000" w:themeColor="text1"/>
          <w:sz w:val="32"/>
          <w:szCs w:val="24"/>
          <w:highlight w:val="none"/>
          <w14:textFill>
            <w14:solidFill>
              <w14:schemeClr w14:val="tx1"/>
            </w14:solidFill>
          </w14:textFill>
        </w:rPr>
        <w:t>（县自然资源和规划局牵头，县农业农村局、县市场监督管理局等配合）</w:t>
      </w:r>
    </w:p>
    <w:p>
      <w:pPr>
        <w:overflowPunct w:val="0"/>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仿宋_GB2312" w:cs="仿宋_GB2312"/>
          <w:b/>
          <w:bCs/>
          <w:color w:val="000000" w:themeColor="text1"/>
          <w:sz w:val="32"/>
          <w:szCs w:val="24"/>
          <w:highlight w:val="none"/>
          <w14:textFill>
            <w14:solidFill>
              <w14:schemeClr w14:val="tx1"/>
            </w14:solidFill>
          </w14:textFill>
        </w:rPr>
        <w:t>6.提升农业防灾减灾能力。</w:t>
      </w:r>
      <w:r>
        <w:rPr>
          <w:rFonts w:ascii="仿宋_GB2312" w:hAnsi="仿宋_GB2312" w:eastAsia="仿宋_GB2312" w:cs="Times New Roman"/>
          <w:color w:val="000000" w:themeColor="text1"/>
          <w:sz w:val="32"/>
          <w:szCs w:val="24"/>
          <w:highlight w:val="none"/>
          <w14:textFill>
            <w14:solidFill>
              <w14:schemeClr w14:val="tx1"/>
            </w14:solidFill>
          </w14:textFill>
        </w:rPr>
        <w:t>加强农作物病虫害预测预报预警，及时有效地防范各类病虫害。认真开展重大动物疫病监测和预警工作，搞好春秋两季重大动物疫病集中免疫，抓好生猪基础免疫，做好病死畜禽的无害化处理。重点加强非洲猪瘟等重大动物疫病防控，保障养殖业健康发展和公共卫生安全。强化气象为农服务，整合农业气象监测系统资源，推进气象条件精细化观测以及农业气象灾害观测系统建设。完善灾害防控体系建设，加强中小型水库、河道等重点灾害危险区治理，强化防汛值班制度和防汛抗旱应急管理。发挥农业保险灾后减损作用。</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（县农业农村局、县气象局、县水利局、县应急管理局、县财政局分工负责）</w:t>
      </w:r>
    </w:p>
    <w:p>
      <w:pPr>
        <w:pStyle w:val="17"/>
        <w:spacing w:after="0" w:line="600" w:lineRule="exact"/>
        <w:ind w:left="0" w:leftChars="0"/>
        <w:rPr>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6" w:type="dxa"/>
          </w:tcPr>
          <w:p>
            <w:pPr>
              <w:spacing w:line="600" w:lineRule="exact"/>
              <w:jc w:val="center"/>
              <w:rPr>
                <w:rFonts w:ascii="仿宋_GB2312" w:hAnsi="仿宋_GB2312" w:eastAsia="方正小标宋简体" w:cs="方正小标宋简体"/>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28"/>
                <w:szCs w:val="28"/>
                <w:highlight w:val="none"/>
                <w14:textFill>
                  <w14:solidFill>
                    <w14:schemeClr w14:val="tx1"/>
                  </w14:solidFill>
                </w14:textFill>
              </w:rPr>
              <w:t>专栏1 农业综合生产能力提升重点工程</w:t>
            </w:r>
          </w:p>
          <w:p>
            <w:pPr>
              <w:spacing w:line="600" w:lineRule="exact"/>
              <w:ind w:firstLine="482" w:firstLineChars="200"/>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1.高标准农田建设工程。</w:t>
            </w:r>
            <w:r>
              <w:rPr>
                <w:rFonts w:ascii="仿宋_GB2312" w:hAnsi="仿宋_GB2312" w:eastAsia="仿宋_GB2312" w:cs="Times New Roman"/>
                <w:color w:val="000000" w:themeColor="text1"/>
                <w:sz w:val="24"/>
                <w:szCs w:val="24"/>
                <w:highlight w:val="none"/>
                <w14:textFill>
                  <w14:solidFill>
                    <w14:schemeClr w14:val="tx1"/>
                  </w14:solidFill>
                </w14:textFill>
              </w:rPr>
              <w:t>结合粮食生产功能区和特色农产品优势区建设，重点开展农田排灌设施、机耕道路、农田林网、输配电设施和土壤改良等田间工程建设。</w:t>
            </w:r>
            <w:r>
              <w:rPr>
                <w:rFonts w:hint="eastAsia" w:ascii="仿宋_GB2312" w:hAnsi="仿宋_GB2312" w:eastAsia="仿宋_GB2312" w:cs="Times New Roman"/>
                <w:color w:val="000000" w:themeColor="text1"/>
                <w:sz w:val="24"/>
                <w:szCs w:val="24"/>
                <w:highlight w:val="none"/>
                <w14:textFill>
                  <w14:solidFill>
                    <w14:schemeClr w14:val="tx1"/>
                  </w14:solidFill>
                </w14:textFill>
              </w:rPr>
              <w:t>整县制推进高标准农田建设，</w:t>
            </w:r>
            <w:r>
              <w:rPr>
                <w:rFonts w:ascii="仿宋_GB2312" w:hAnsi="仿宋_GB2312" w:eastAsia="仿宋_GB2312" w:cs="Times New Roman"/>
                <w:color w:val="000000" w:themeColor="text1"/>
                <w:sz w:val="24"/>
                <w:szCs w:val="24"/>
                <w:highlight w:val="none"/>
                <w14:textFill>
                  <w14:solidFill>
                    <w14:schemeClr w14:val="tx1"/>
                  </w14:solidFill>
                </w14:textFill>
              </w:rPr>
              <w:t>到2025年，累计建成高标准农田</w:t>
            </w:r>
            <w:r>
              <w:rPr>
                <w:rFonts w:hint="eastAsia" w:ascii="仿宋_GB2312" w:hAnsi="仿宋_GB2312" w:eastAsia="仿宋_GB2312" w:cs="Times New Roman"/>
                <w:color w:val="000000" w:themeColor="text1"/>
                <w:sz w:val="24"/>
                <w:szCs w:val="24"/>
                <w:highlight w:val="none"/>
                <w14:textFill>
                  <w14:solidFill>
                    <w14:schemeClr w14:val="tx1"/>
                  </w14:solidFill>
                </w14:textFill>
              </w:rPr>
              <w:t>84.48</w:t>
            </w:r>
            <w:r>
              <w:rPr>
                <w:rFonts w:ascii="仿宋_GB2312" w:hAnsi="仿宋_GB2312" w:eastAsia="仿宋_GB2312" w:cs="Times New Roman"/>
                <w:color w:val="000000" w:themeColor="text1"/>
                <w:sz w:val="24"/>
                <w:szCs w:val="24"/>
                <w:highlight w:val="none"/>
                <w14:textFill>
                  <w14:solidFill>
                    <w14:schemeClr w14:val="tx1"/>
                  </w14:solidFill>
                </w14:textFill>
              </w:rPr>
              <w:t>万亩。</w:t>
            </w:r>
            <w:r>
              <w:rPr>
                <w:rFonts w:hint="eastAsia" w:ascii="仿宋_GB2312" w:hAnsi="仿宋_GB2312" w:eastAsia="楷体_GB2312" w:cs="楷体_GB2312"/>
                <w:color w:val="000000" w:themeColor="text1"/>
                <w:sz w:val="24"/>
                <w:szCs w:val="24"/>
                <w:highlight w:val="none"/>
                <w14:textFill>
                  <w14:solidFill>
                    <w14:schemeClr w14:val="tx1"/>
                  </w14:solidFill>
                </w14:textFill>
              </w:rPr>
              <w:t>（县农业农村局牵头）</w:t>
            </w:r>
          </w:p>
          <w:p>
            <w:pPr>
              <w:spacing w:line="600" w:lineRule="exact"/>
              <w:ind w:firstLine="482" w:firstLineChars="200"/>
              <w:rPr>
                <w:rFonts w:ascii="仿宋_GB2312" w:hAnsi="仿宋_GB2312" w:eastAsia="楷体_GB2312" w:cs="楷体_GB2312"/>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2.农业机械化提升工程。</w:t>
            </w:r>
            <w:r>
              <w:rPr>
                <w:rFonts w:ascii="仿宋_GB2312" w:hAnsi="仿宋_GB2312" w:eastAsia="仿宋_GB2312" w:cs="Times New Roman"/>
                <w:color w:val="000000" w:themeColor="text1"/>
                <w:sz w:val="24"/>
                <w:szCs w:val="24"/>
                <w:highlight w:val="none"/>
                <w14:textFill>
                  <w14:solidFill>
                    <w14:schemeClr w14:val="tx1"/>
                  </w14:solidFill>
                </w14:textFill>
              </w:rPr>
              <w:t>农业机械化转型升级。聚焦主要农作物耕、种、收等主要环节，实施农机购置及报废补贴，优化农机装备结构。聚焦粮食生产机收减损和智能农机装备，推广复式多功能、精准高效、节能环保机械化技术与装备，推进规模作业机械化技术集成示范，提高农机公共服务能力。</w:t>
            </w:r>
            <w:r>
              <w:rPr>
                <w:rFonts w:hint="eastAsia" w:ascii="仿宋_GB2312" w:hAnsi="仿宋_GB2312" w:eastAsia="仿宋_GB2312" w:cs="Times New Roman"/>
                <w:color w:val="000000" w:themeColor="text1"/>
                <w:sz w:val="24"/>
                <w:szCs w:val="24"/>
                <w:highlight w:val="none"/>
                <w14:textFill>
                  <w14:solidFill>
                    <w14:schemeClr w14:val="tx1"/>
                  </w14:solidFill>
                </w14:textFill>
              </w:rPr>
              <w:t>深挖机收减损潜力，小麦机收平均损失率控制在2%以内。推进“两全两高”农业机械化，启动全国主要农作物生产全程机械化示范县创建。</w:t>
            </w:r>
            <w:r>
              <w:rPr>
                <w:rFonts w:ascii="仿宋_GB2312" w:hAnsi="仿宋_GB2312" w:eastAsia="仿宋_GB2312" w:cs="Times New Roman"/>
                <w:color w:val="000000" w:themeColor="text1"/>
                <w:sz w:val="24"/>
                <w:szCs w:val="24"/>
                <w:highlight w:val="none"/>
                <w14:textFill>
                  <w14:solidFill>
                    <w14:schemeClr w14:val="tx1"/>
                  </w14:solidFill>
                </w14:textFill>
              </w:rPr>
              <w:t>到2025年，农作物耕种收综合机械化率达到95.5%。</w:t>
            </w:r>
            <w:r>
              <w:rPr>
                <w:rFonts w:ascii="仿宋_GB2312" w:hAnsi="仿宋_GB2312" w:eastAsia="楷体_GB2312" w:cs="楷体_GB2312"/>
                <w:color w:val="000000" w:themeColor="text1"/>
                <w:sz w:val="24"/>
                <w:szCs w:val="24"/>
                <w:highlight w:val="none"/>
                <w14:textFill>
                  <w14:solidFill>
                    <w14:schemeClr w14:val="tx1"/>
                  </w14:solidFill>
                </w14:textFill>
              </w:rPr>
              <w:t>（</w:t>
            </w:r>
            <w:r>
              <w:rPr>
                <w:rFonts w:hint="eastAsia" w:ascii="仿宋_GB2312" w:hAnsi="仿宋_GB2312" w:eastAsia="楷体_GB2312" w:cs="楷体_GB2312"/>
                <w:color w:val="000000" w:themeColor="text1"/>
                <w:sz w:val="24"/>
                <w:szCs w:val="24"/>
                <w:highlight w:val="none"/>
                <w14:textFill>
                  <w14:solidFill>
                    <w14:schemeClr w14:val="tx1"/>
                  </w14:solidFill>
                </w14:textFill>
              </w:rPr>
              <w:t>县</w:t>
            </w:r>
            <w:r>
              <w:rPr>
                <w:rFonts w:ascii="仿宋_GB2312" w:hAnsi="仿宋_GB2312" w:eastAsia="楷体_GB2312" w:cs="楷体_GB2312"/>
                <w:color w:val="000000" w:themeColor="text1"/>
                <w:sz w:val="24"/>
                <w:szCs w:val="24"/>
                <w:highlight w:val="none"/>
                <w14:textFill>
                  <w14:solidFill>
                    <w14:schemeClr w14:val="tx1"/>
                  </w14:solidFill>
                </w14:textFill>
              </w:rPr>
              <w:t>农业农村局牵头）</w:t>
            </w:r>
          </w:p>
          <w:p>
            <w:pPr>
              <w:spacing w:line="600" w:lineRule="exact"/>
              <w:ind w:firstLine="482" w:firstLineChars="200"/>
              <w:rPr>
                <w:rFonts w:ascii="仿宋_GB2312" w:hAnsi="仿宋_GB2312" w:eastAsia="楷体_GB2312" w:cs="楷体_GB2312"/>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3.粮食安全保障工程。</w:t>
            </w:r>
            <w:r>
              <w:rPr>
                <w:rFonts w:ascii="仿宋_GB2312" w:hAnsi="仿宋_GB2312" w:eastAsia="仿宋_GB2312" w:cs="Times New Roman"/>
                <w:color w:val="000000" w:themeColor="text1"/>
                <w:sz w:val="24"/>
                <w:szCs w:val="24"/>
                <w:highlight w:val="none"/>
                <w14:textFill>
                  <w14:solidFill>
                    <w14:schemeClr w14:val="tx1"/>
                  </w14:solidFill>
                </w14:textFill>
              </w:rPr>
              <w:t>深入实施“藏粮于地、藏粮于技”战略，提高农业综合生产能力，提高土地产出率、资源利用率和农业劳动生产率，夯实粮食生产基础，确保粮食安全和重要农产品有效供给。</w:t>
            </w:r>
            <w:r>
              <w:rPr>
                <w:rFonts w:hint="eastAsia" w:ascii="仿宋_GB2312" w:hAnsi="仿宋_GB2312" w:eastAsia="仿宋_GB2312" w:cs="Times New Roman"/>
                <w:color w:val="000000" w:themeColor="text1"/>
                <w:sz w:val="24"/>
                <w:szCs w:val="24"/>
                <w:highlight w:val="none"/>
                <w14:textFill>
                  <w14:solidFill>
                    <w14:schemeClr w14:val="tx1"/>
                  </w14:solidFill>
                </w14:textFill>
              </w:rPr>
              <w:t>全面落实粮食种植补贴、农机购置补贴、农业保险等各项惠农政策，力争小麦、玉米、水稻三大主要粮食作物保险投保率达到85%。</w:t>
            </w:r>
            <w:r>
              <w:rPr>
                <w:rFonts w:ascii="仿宋_GB2312" w:hAnsi="仿宋_GB2312" w:eastAsia="仿宋_GB2312" w:cs="Times New Roman"/>
                <w:color w:val="000000" w:themeColor="text1"/>
                <w:sz w:val="24"/>
                <w:szCs w:val="24"/>
                <w:highlight w:val="none"/>
                <w14:textFill>
                  <w14:solidFill>
                    <w14:schemeClr w14:val="tx1"/>
                  </w14:solidFill>
                </w14:textFill>
              </w:rPr>
              <w:t>到2025年，全县粮食播种面积稳定在141万亩左右，总产稳定在72.6万吨左右。</w:t>
            </w:r>
            <w:r>
              <w:rPr>
                <w:rFonts w:ascii="仿宋_GB2312" w:hAnsi="仿宋_GB2312" w:eastAsia="楷体_GB2312" w:cs="楷体_GB2312"/>
                <w:color w:val="000000" w:themeColor="text1"/>
                <w:sz w:val="24"/>
                <w:szCs w:val="24"/>
                <w:highlight w:val="none"/>
                <w14:textFill>
                  <w14:solidFill>
                    <w14:schemeClr w14:val="tx1"/>
                  </w14:solidFill>
                </w14:textFill>
              </w:rPr>
              <w:t>（</w:t>
            </w:r>
            <w:r>
              <w:rPr>
                <w:rFonts w:hint="eastAsia" w:ascii="仿宋_GB2312" w:hAnsi="仿宋_GB2312" w:eastAsia="楷体_GB2312" w:cs="楷体_GB2312"/>
                <w:color w:val="000000" w:themeColor="text1"/>
                <w:sz w:val="24"/>
                <w:szCs w:val="24"/>
                <w:highlight w:val="none"/>
                <w14:textFill>
                  <w14:solidFill>
                    <w14:schemeClr w14:val="tx1"/>
                  </w14:solidFill>
                </w14:textFill>
              </w:rPr>
              <w:t>县</w:t>
            </w:r>
            <w:r>
              <w:rPr>
                <w:rFonts w:ascii="仿宋_GB2312" w:hAnsi="仿宋_GB2312" w:eastAsia="楷体_GB2312" w:cs="楷体_GB2312"/>
                <w:color w:val="000000" w:themeColor="text1"/>
                <w:sz w:val="24"/>
                <w:szCs w:val="24"/>
                <w:highlight w:val="none"/>
                <w14:textFill>
                  <w14:solidFill>
                    <w14:schemeClr w14:val="tx1"/>
                  </w14:solidFill>
                </w14:textFill>
              </w:rPr>
              <w:t>农业农村局牵头）</w:t>
            </w:r>
          </w:p>
          <w:p>
            <w:pPr>
              <w:spacing w:line="600" w:lineRule="exact"/>
              <w:ind w:firstLine="482" w:firstLineChars="200"/>
              <w:rPr>
                <w:rFonts w:ascii="仿宋_GB2312" w:hAnsi="仿宋_GB2312" w:eastAsia="仿宋_GB2312" w:cs="Times New Roman"/>
                <w:b/>
                <w:color w:val="000000" w:themeColor="text1"/>
                <w:sz w:val="24"/>
                <w:szCs w:val="24"/>
                <w:highlight w:val="none"/>
                <w14:textFill>
                  <w14:solidFill>
                    <w14:schemeClr w14:val="tx1"/>
                  </w14:solidFill>
                </w14:textFill>
              </w:rPr>
            </w:pPr>
            <w:r>
              <w:rPr>
                <w:rFonts w:ascii="仿宋_GB2312" w:hAnsi="仿宋_GB2312" w:eastAsia="仿宋_GB2312" w:cs="Times New Roman"/>
                <w:b/>
                <w:color w:val="000000" w:themeColor="text1"/>
                <w:sz w:val="24"/>
                <w:szCs w:val="24"/>
                <w:highlight w:val="none"/>
                <w14:textFill>
                  <w14:solidFill>
                    <w14:schemeClr w14:val="tx1"/>
                  </w14:solidFill>
                </w14:textFill>
              </w:rPr>
              <w:t>4.畜牧产业结构调整工程。</w:t>
            </w:r>
            <w:r>
              <w:rPr>
                <w:rFonts w:ascii="仿宋_GB2312" w:hAnsi="仿宋_GB2312" w:eastAsia="仿宋_GB2312" w:cs="Times New Roman"/>
                <w:bCs/>
                <w:color w:val="000000" w:themeColor="text1"/>
                <w:sz w:val="24"/>
                <w:szCs w:val="24"/>
                <w:highlight w:val="none"/>
                <w14:textFill>
                  <w14:solidFill>
                    <w14:schemeClr w14:val="tx1"/>
                  </w14:solidFill>
                </w14:textFill>
              </w:rPr>
              <w:t>稳定生猪、肉鸡等优势产业，大力发展肉牛、肉羊等草畜产业。到2025年，全县生猪、肉禽出栏量、规模化养殖比重、产量、产品质量安全水平和全产业链运行效率明显提高；大力发展肉牛、肉羊产业，扩大现有养殖规模，到“十四五”末，奶牛存栏量超过1万头，肉牛年出栏量超过5万头，羊年出栏量超过20万只，培育完成我县第三条畜牧产业链条。全县肉蛋奶产量稳定在20万吨左右。</w:t>
            </w:r>
            <w:r>
              <w:rPr>
                <w:rFonts w:ascii="仿宋_GB2312" w:hAnsi="仿宋_GB2312" w:eastAsia="楷体_GB2312" w:cs="楷体_GB2312"/>
                <w:color w:val="000000" w:themeColor="text1"/>
                <w:sz w:val="24"/>
                <w:szCs w:val="24"/>
                <w:highlight w:val="none"/>
                <w14:textFill>
                  <w14:solidFill>
                    <w14:schemeClr w14:val="tx1"/>
                  </w14:solidFill>
                </w14:textFill>
              </w:rPr>
              <w:t>（</w:t>
            </w:r>
            <w:r>
              <w:rPr>
                <w:rFonts w:hint="eastAsia" w:ascii="仿宋_GB2312" w:hAnsi="仿宋_GB2312" w:eastAsia="楷体_GB2312" w:cs="楷体_GB2312"/>
                <w:color w:val="000000" w:themeColor="text1"/>
                <w:sz w:val="24"/>
                <w:szCs w:val="24"/>
                <w:highlight w:val="none"/>
                <w14:textFill>
                  <w14:solidFill>
                    <w14:schemeClr w14:val="tx1"/>
                  </w14:solidFill>
                </w14:textFill>
              </w:rPr>
              <w:t>县</w:t>
            </w:r>
            <w:r>
              <w:rPr>
                <w:rFonts w:ascii="仿宋_GB2312" w:hAnsi="仿宋_GB2312" w:eastAsia="楷体_GB2312" w:cs="楷体_GB2312"/>
                <w:color w:val="000000" w:themeColor="text1"/>
                <w:sz w:val="24"/>
                <w:szCs w:val="24"/>
                <w:highlight w:val="none"/>
                <w14:textFill>
                  <w14:solidFill>
                    <w14:schemeClr w14:val="tx1"/>
                  </w14:solidFill>
                </w14:textFill>
              </w:rPr>
              <w:t>农业农村局牵头）</w:t>
            </w:r>
          </w:p>
          <w:p>
            <w:pPr>
              <w:pStyle w:val="17"/>
              <w:spacing w:after="0" w:line="600" w:lineRule="exact"/>
              <w:ind w:left="0" w:leftChars="0" w:firstLine="482"/>
              <w:rPr>
                <w:color w:val="000000" w:themeColor="text1"/>
                <w:highlight w:val="none"/>
                <w14:textFill>
                  <w14:solidFill>
                    <w14:schemeClr w14:val="tx1"/>
                  </w14:solidFill>
                </w14:textFill>
              </w:rPr>
            </w:pPr>
            <w:r>
              <w:rPr>
                <w:rFonts w:ascii="仿宋_GB2312" w:hAnsi="仿宋_GB2312" w:eastAsia="Times New Roman" w:cs="Times New Roman"/>
                <w:b/>
                <w:color w:val="000000" w:themeColor="text1"/>
                <w:sz w:val="24"/>
                <w:szCs w:val="24"/>
                <w:highlight w:val="none"/>
                <w14:textFill>
                  <w14:solidFill>
                    <w14:schemeClr w14:val="tx1"/>
                  </w14:solidFill>
                </w14:textFill>
              </w:rPr>
              <w:t>5.</w:t>
            </w:r>
            <w:r>
              <w:rPr>
                <w:rFonts w:hint="eastAsia" w:ascii="仿宋_GB2312" w:hAnsi="仿宋_GB2312" w:eastAsia="仿宋_GB2312" w:cs="仿宋_GB2312"/>
                <w:b/>
                <w:color w:val="000000" w:themeColor="text1"/>
                <w:sz w:val="24"/>
                <w:szCs w:val="24"/>
                <w:highlight w:val="none"/>
                <w14:textFill>
                  <w14:solidFill>
                    <w14:schemeClr w14:val="tx1"/>
                  </w14:solidFill>
                </w14:textFill>
              </w:rPr>
              <w:t>现代渔业发展工程。</w:t>
            </w:r>
            <w:r>
              <w:rPr>
                <w:rFonts w:ascii="仿宋_GB2312" w:hAnsi="仿宋_GB2312" w:eastAsia="仿宋_GB2312" w:cs="Times New Roman"/>
                <w:bCs/>
                <w:color w:val="000000" w:themeColor="text1"/>
                <w:sz w:val="24"/>
                <w:szCs w:val="24"/>
                <w:highlight w:val="none"/>
                <w14:textFill>
                  <w14:solidFill>
                    <w14:schemeClr w14:val="tx1"/>
                  </w14:solidFill>
                </w14:textFill>
              </w:rPr>
              <w:t>大力发展设施渔业、生态渔业、休闲渔业、特色渔业等节水节能、集约高效现代渔业产业。到2025年，全</w:t>
            </w:r>
            <w:r>
              <w:rPr>
                <w:rFonts w:hint="eastAsia" w:ascii="仿宋_GB2312" w:hAnsi="仿宋_GB2312" w:eastAsia="仿宋_GB2312" w:cs="Times New Roman"/>
                <w:bCs/>
                <w:color w:val="000000" w:themeColor="text1"/>
                <w:sz w:val="24"/>
                <w:szCs w:val="24"/>
                <w:highlight w:val="none"/>
                <w14:textFill>
                  <w14:solidFill>
                    <w14:schemeClr w14:val="tx1"/>
                  </w14:solidFill>
                </w14:textFill>
              </w:rPr>
              <w:t>县</w:t>
            </w:r>
            <w:r>
              <w:rPr>
                <w:rFonts w:ascii="仿宋_GB2312" w:hAnsi="仿宋_GB2312" w:eastAsia="仿宋_GB2312" w:cs="Times New Roman"/>
                <w:bCs/>
                <w:color w:val="000000" w:themeColor="text1"/>
                <w:sz w:val="24"/>
                <w:szCs w:val="24"/>
                <w:highlight w:val="none"/>
                <w14:textFill>
                  <w14:solidFill>
                    <w14:schemeClr w14:val="tx1"/>
                  </w14:solidFill>
                </w14:textFill>
              </w:rPr>
              <w:t>水产品总产量达到</w:t>
            </w:r>
            <w:r>
              <w:rPr>
                <w:rFonts w:hint="eastAsia" w:ascii="仿宋_GB2312" w:hAnsi="仿宋_GB2312" w:eastAsia="仿宋_GB2312" w:cs="Times New Roman"/>
                <w:bCs/>
                <w:color w:val="000000" w:themeColor="text1"/>
                <w:sz w:val="24"/>
                <w:szCs w:val="24"/>
                <w:highlight w:val="none"/>
                <w14:textFill>
                  <w14:solidFill>
                    <w14:schemeClr w14:val="tx1"/>
                  </w14:solidFill>
                </w14:textFill>
              </w:rPr>
              <w:t>3</w:t>
            </w:r>
            <w:r>
              <w:rPr>
                <w:rFonts w:ascii="仿宋_GB2312" w:hAnsi="仿宋_GB2312" w:eastAsia="仿宋_GB2312" w:cs="Times New Roman"/>
                <w:bCs/>
                <w:color w:val="000000" w:themeColor="text1"/>
                <w:sz w:val="24"/>
                <w:szCs w:val="24"/>
                <w:highlight w:val="none"/>
                <w14:textFill>
                  <w14:solidFill>
                    <w14:schemeClr w14:val="tx1"/>
                  </w14:solidFill>
                </w14:textFill>
              </w:rPr>
              <w:t>万吨</w:t>
            </w:r>
            <w:r>
              <w:rPr>
                <w:rFonts w:hint="eastAsia" w:ascii="仿宋_GB2312" w:hAnsi="仿宋_GB2312" w:eastAsia="仿宋_GB2312" w:cs="Times New Roman"/>
                <w:bCs/>
                <w:color w:val="000000" w:themeColor="text1"/>
                <w:sz w:val="24"/>
                <w:szCs w:val="24"/>
                <w:highlight w:val="none"/>
                <w14:textFill>
                  <w14:solidFill>
                    <w14:schemeClr w14:val="tx1"/>
                  </w14:solidFill>
                </w14:textFill>
              </w:rPr>
              <w:t>左右</w:t>
            </w:r>
            <w:r>
              <w:rPr>
                <w:rFonts w:ascii="仿宋_GB2312" w:hAnsi="仿宋_GB2312" w:eastAsia="仿宋_GB2312" w:cs="Times New Roman"/>
                <w:bCs/>
                <w:color w:val="000000" w:themeColor="text1"/>
                <w:sz w:val="24"/>
                <w:szCs w:val="24"/>
                <w:highlight w:val="none"/>
                <w14:textFill>
                  <w14:solidFill>
                    <w14:schemeClr w14:val="tx1"/>
                  </w14:solidFill>
                </w14:textFill>
              </w:rPr>
              <w:t>，渔业经济总产值突破</w:t>
            </w:r>
            <w:r>
              <w:rPr>
                <w:rFonts w:hint="eastAsia" w:ascii="仿宋_GB2312" w:hAnsi="仿宋_GB2312" w:eastAsia="仿宋_GB2312" w:cs="Times New Roman"/>
                <w:bCs/>
                <w:color w:val="000000" w:themeColor="text1"/>
                <w:sz w:val="24"/>
                <w:szCs w:val="24"/>
                <w:highlight w:val="none"/>
                <w14:textFill>
                  <w14:solidFill>
                    <w14:schemeClr w14:val="tx1"/>
                  </w14:solidFill>
                </w14:textFill>
              </w:rPr>
              <w:t>4.2</w:t>
            </w:r>
            <w:r>
              <w:rPr>
                <w:rFonts w:ascii="仿宋_GB2312" w:hAnsi="仿宋_GB2312" w:eastAsia="仿宋_GB2312" w:cs="Times New Roman"/>
                <w:bCs/>
                <w:color w:val="000000" w:themeColor="text1"/>
                <w:sz w:val="24"/>
                <w:szCs w:val="24"/>
                <w:highlight w:val="none"/>
                <w14:textFill>
                  <w14:solidFill>
                    <w14:schemeClr w14:val="tx1"/>
                  </w14:solidFill>
                </w14:textFill>
              </w:rPr>
              <w:t>亿元</w:t>
            </w:r>
            <w:r>
              <w:rPr>
                <w:rFonts w:hint="eastAsia" w:ascii="仿宋_GB2312" w:hAnsi="仿宋_GB2312" w:eastAsia="仿宋_GB2312" w:cs="Times New Roman"/>
                <w:bCs/>
                <w:color w:val="000000" w:themeColor="text1"/>
                <w:sz w:val="24"/>
                <w:szCs w:val="24"/>
                <w:highlight w:val="none"/>
                <w14:textFill>
                  <w14:solidFill>
                    <w14:schemeClr w14:val="tx1"/>
                  </w14:solidFill>
                </w14:textFill>
              </w:rPr>
              <w:t>以上</w:t>
            </w:r>
            <w:r>
              <w:rPr>
                <w:rFonts w:ascii="仿宋_GB2312" w:hAnsi="仿宋_GB2312" w:eastAsia="仿宋_GB2312" w:cs="Times New Roman"/>
                <w:bCs/>
                <w:color w:val="000000" w:themeColor="text1"/>
                <w:sz w:val="24"/>
                <w:szCs w:val="24"/>
                <w:highlight w:val="none"/>
                <w14:textFill>
                  <w14:solidFill>
                    <w14:schemeClr w14:val="tx1"/>
                  </w14:solidFill>
                </w14:textFill>
              </w:rPr>
              <w:t>。创建8家以上省级健康养殖示范场，水产苗种年繁育能力在16亿尾以上。</w:t>
            </w:r>
            <w:r>
              <w:rPr>
                <w:rFonts w:hint="eastAsia" w:ascii="仿宋_GB2312" w:hAnsi="仿宋_GB2312" w:eastAsia="楷体_GB2312" w:cs="楷体_GB2312"/>
                <w:bCs/>
                <w:color w:val="000000" w:themeColor="text1"/>
                <w:sz w:val="24"/>
                <w:szCs w:val="24"/>
                <w:highlight w:val="none"/>
                <w14:textFill>
                  <w14:solidFill>
                    <w14:schemeClr w14:val="tx1"/>
                  </w14:solidFill>
                </w14:textFill>
              </w:rPr>
              <w:t>（县农业农村局牵头）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（二）实施乡村振兴“三步走”，培育农业发展新动能</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1.打造长三角中心城市农产品供应基地</w:t>
      </w:r>
      <w:r>
        <w:rPr>
          <w:rFonts w:ascii="仿宋_GB2312" w:hAnsi="仿宋_GB2312" w:eastAsia="仿宋_GB2312" w:cs="Times New Roman"/>
          <w:color w:val="000000" w:themeColor="text1"/>
          <w:sz w:val="32"/>
          <w:szCs w:val="24"/>
          <w:highlight w:val="none"/>
          <w14:textFill>
            <w14:solidFill>
              <w14:schemeClr w14:val="tx1"/>
            </w14:solidFill>
          </w14:textFill>
        </w:rPr>
        <w:t>。全面对接长三角农产品市场，以长三角地区农产品市场需求为导向，建立完善生产、加工、运输、销售于一体的产销标准规范体系，带动特色产业全链条升级，全力打造长三角“菜篮子”“果篮子”“肉篮子”“米袋子”等直供基地。围绕全县优质粮油、健康畜牧、优质</w:t>
      </w:r>
      <w:r>
        <w:rPr>
          <w:rFonts w:hint="eastAsia" w:ascii="仿宋_GB2312" w:hAnsi="仿宋_GB2312" w:eastAsia="仿宋_GB2312" w:cs="Times New Roman"/>
          <w:color w:val="000000" w:themeColor="text1"/>
          <w:sz w:val="32"/>
          <w:szCs w:val="24"/>
          <w:highlight w:val="none"/>
          <w14:textFill>
            <w14:solidFill>
              <w14:schemeClr w14:val="tx1"/>
            </w14:solidFill>
          </w14:textFill>
        </w:rPr>
        <w:t>蔬菜</w:t>
      </w:r>
      <w:r>
        <w:rPr>
          <w:rFonts w:ascii="仿宋_GB2312" w:hAnsi="仿宋_GB2312" w:eastAsia="仿宋_GB2312" w:cs="Times New Roman"/>
          <w:color w:val="000000" w:themeColor="text1"/>
          <w:sz w:val="32"/>
          <w:szCs w:val="24"/>
          <w:highlight w:val="none"/>
          <w14:textFill>
            <w14:solidFill>
              <w14:schemeClr w14:val="tx1"/>
            </w14:solidFill>
          </w14:textFill>
        </w:rPr>
        <w:t>等优势特色产业，开展“一乡一业（特）”全产业链创建，加快构建较为完善的产业体系、生产体系、经营体系，实现生产基地稳固、加工提</w:t>
      </w:r>
      <w:r>
        <w:rPr>
          <w:rFonts w:hint="eastAsia" w:ascii="仿宋_GB2312" w:hAnsi="仿宋_GB2312" w:eastAsia="仿宋_GB2312" w:cs="Times New Roman"/>
          <w:color w:val="000000" w:themeColor="text1"/>
          <w:sz w:val="32"/>
          <w:szCs w:val="24"/>
          <w:highlight w:val="none"/>
          <w:lang w:val="en-US" w:eastAsia="zh-CN"/>
          <w14:textFill>
            <w14:solidFill>
              <w14:schemeClr w14:val="tx1"/>
            </w14:solidFill>
          </w14:textFill>
        </w:rPr>
        <w:t>档</w:t>
      </w:r>
      <w:r>
        <w:rPr>
          <w:rFonts w:ascii="仿宋_GB2312" w:hAnsi="仿宋_GB2312" w:eastAsia="仿宋_GB2312" w:cs="Times New Roman"/>
          <w:color w:val="000000" w:themeColor="text1"/>
          <w:sz w:val="32"/>
          <w:szCs w:val="24"/>
          <w:highlight w:val="none"/>
          <w14:textFill>
            <w14:solidFill>
              <w14:schemeClr w14:val="tx1"/>
            </w14:solidFill>
          </w14:textFill>
        </w:rPr>
        <w:t>升级、销售渠道畅通。到2025年，每个乡镇至少重点培育1个优势主导产业全产业链发展，建设一批优势特色产业集群；建设县级以上长三角绿色农产品生产类、加工类、供应类示范基地30个；面向沪苏浙地区的农副产品和农产品加工品年销售额达到60亿元。推行农业标准化生产，加强农产品质量安全监管、开展农产品基地（园区）补链强链行动，加强产销市场体系建设等，打造放心、安全的优质农产品。</w:t>
      </w:r>
      <w:r>
        <w:rPr>
          <w:rFonts w:hint="eastAsia" w:ascii="仿宋_GB2312" w:hAnsi="仿宋_GB2312" w:eastAsia="仿宋_GB2312" w:cs="Times New Roman"/>
          <w:color w:val="000000" w:themeColor="text1"/>
          <w:sz w:val="32"/>
          <w:szCs w:val="24"/>
          <w:highlight w:val="none"/>
          <w14:textFill>
            <w14:solidFill>
              <w14:schemeClr w14:val="tx1"/>
            </w14:solidFill>
          </w14:textFill>
        </w:rPr>
        <w:t>推进预制菜产业发展壮大，深入推进蔬菜“五品”改良工程和“五标”提升行动。到2025年预制菜产业产值突破10亿元，食品产业产值突破200亿元。</w:t>
      </w:r>
      <w:r>
        <w:rPr>
          <w:rFonts w:ascii="仿宋_GB2312" w:hAnsi="仿宋_GB2312" w:eastAsia="仿宋_GB2312" w:cs="Times New Roman"/>
          <w:color w:val="000000" w:themeColor="text1"/>
          <w:sz w:val="32"/>
          <w:szCs w:val="24"/>
          <w:highlight w:val="none"/>
          <w14:textFill>
            <w14:solidFill>
              <w14:schemeClr w14:val="tx1"/>
            </w14:solidFill>
          </w14:textFill>
        </w:rPr>
        <w:t>通过</w:t>
      </w:r>
      <w:r>
        <w:rPr>
          <w:rFonts w:hint="eastAsia" w:ascii="仿宋_GB2312" w:hAnsi="仿宋_GB2312" w:eastAsia="仿宋_GB2312" w:cs="Times New Roman"/>
          <w:color w:val="000000" w:themeColor="text1"/>
          <w:sz w:val="32"/>
          <w:szCs w:val="24"/>
          <w:highlight w:val="none"/>
          <w14:textFill>
            <w14:solidFill>
              <w14:schemeClr w14:val="tx1"/>
            </w14:solidFill>
          </w14:textFill>
        </w:rPr>
        <w:t>组织或参加</w:t>
      </w:r>
      <w:r>
        <w:rPr>
          <w:rFonts w:ascii="仿宋_GB2312" w:hAnsi="仿宋_GB2312" w:eastAsia="仿宋_GB2312" w:cs="Times New Roman"/>
          <w:color w:val="000000" w:themeColor="text1"/>
          <w:sz w:val="32"/>
          <w:szCs w:val="24"/>
          <w:highlight w:val="none"/>
          <w14:textFill>
            <w14:solidFill>
              <w14:schemeClr w14:val="tx1"/>
            </w14:solidFill>
          </w14:textFill>
        </w:rPr>
        <w:t>蔬菜博览会、沂蒙优质农产品交易会等</w:t>
      </w:r>
      <w:r>
        <w:rPr>
          <w:rFonts w:hint="eastAsia" w:ascii="仿宋_GB2312" w:hAnsi="仿宋_GB2312" w:eastAsia="仿宋_GB2312" w:cs="Times New Roman"/>
          <w:color w:val="000000" w:themeColor="text1"/>
          <w:sz w:val="32"/>
          <w:szCs w:val="24"/>
          <w:highlight w:val="none"/>
          <w14:textFill>
            <w14:solidFill>
              <w14:schemeClr w14:val="tx1"/>
            </w14:solidFill>
          </w14:textFill>
        </w:rPr>
        <w:t>活动</w:t>
      </w:r>
      <w:r>
        <w:rPr>
          <w:rFonts w:ascii="仿宋_GB2312" w:hAnsi="仿宋_GB2312" w:eastAsia="仿宋_GB2312" w:cs="Times New Roman"/>
          <w:color w:val="000000" w:themeColor="text1"/>
          <w:sz w:val="32"/>
          <w:szCs w:val="24"/>
          <w:highlight w:val="none"/>
          <w14:textFill>
            <w14:solidFill>
              <w14:schemeClr w14:val="tx1"/>
            </w14:solidFill>
          </w14:textFill>
        </w:rPr>
        <w:t>，提高</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郯城县</w:t>
      </w:r>
      <w:r>
        <w:rPr>
          <w:rFonts w:ascii="仿宋_GB2312" w:hAnsi="仿宋_GB2312" w:eastAsia="仿宋_GB2312" w:cs="Times New Roman"/>
          <w:color w:val="000000" w:themeColor="text1"/>
          <w:sz w:val="32"/>
          <w:szCs w:val="24"/>
          <w:highlight w:val="none"/>
          <w14:textFill>
            <w14:solidFill>
              <w14:schemeClr w14:val="tx1"/>
            </w14:solidFill>
          </w14:textFill>
        </w:rPr>
        <w:t>优质农产品品牌在长三角市场的知名度，巩固拓展长三角市场。到2025年，</w:t>
      </w:r>
      <w:r>
        <w:rPr>
          <w:rFonts w:hint="eastAsia" w:ascii="仿宋_GB2312" w:hAnsi="仿宋_GB2312" w:eastAsia="仿宋_GB2312" w:cs="Times New Roman"/>
          <w:color w:val="000000" w:themeColor="text1"/>
          <w:sz w:val="32"/>
          <w:szCs w:val="24"/>
          <w:highlight w:val="none"/>
          <w14:textFill>
            <w14:solidFill>
              <w14:schemeClr w14:val="tx1"/>
            </w14:solidFill>
          </w14:textFill>
        </w:rPr>
        <w:t>全县</w:t>
      </w:r>
      <w:r>
        <w:rPr>
          <w:rFonts w:ascii="仿宋_GB2312" w:hAnsi="仿宋_GB2312" w:eastAsia="仿宋_GB2312" w:cs="Times New Roman"/>
          <w:color w:val="000000" w:themeColor="text1"/>
          <w:sz w:val="32"/>
          <w:szCs w:val="24"/>
          <w:highlight w:val="none"/>
          <w14:textFill>
            <w14:solidFill>
              <w14:schemeClr w14:val="tx1"/>
            </w14:solidFill>
          </w14:textFill>
        </w:rPr>
        <w:t>主要农作物良种覆盖率达到100%</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ascii="仿宋_GB2312" w:hAnsi="仿宋_GB2312" w:eastAsia="仿宋_GB2312" w:cs="Times New Roman"/>
          <w:color w:val="000000" w:themeColor="text1"/>
          <w:sz w:val="32"/>
          <w:szCs w:val="24"/>
          <w:highlight w:val="none"/>
          <w14:textFill>
            <w14:solidFill>
              <w14:schemeClr w14:val="tx1"/>
            </w14:solidFill>
          </w14:textFill>
        </w:rPr>
        <w:t>主要特色农产品在长三角中心城市稳定产销体系构建完成，长三角中心城市农产品供应基地的格局基本形成。</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（县农业农村局牵头，县财政局、县市场监督管理局、县商务局等配合）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2.培育长三角休闲旅游“后花园”。</w:t>
      </w:r>
      <w:r>
        <w:rPr>
          <w:rFonts w:ascii="仿宋_GB2312" w:hAnsi="仿宋_GB2312" w:eastAsia="仿宋_GB2312" w:cs="Times New Roman"/>
          <w:color w:val="000000" w:themeColor="text1"/>
          <w:sz w:val="32"/>
          <w:szCs w:val="24"/>
          <w:highlight w:val="none"/>
          <w14:textFill>
            <w14:solidFill>
              <w14:schemeClr w14:val="tx1"/>
            </w14:solidFill>
          </w14:textFill>
        </w:rPr>
        <w:t>实施休闲农业和乡村旅游精品工程，打造沂蒙乡村旅游品牌，充分挖掘特色农业资源，增强乡村产业发展新动能。以鲁南高铁开通、京沪高铁二线建设为契机，大力发展休闲农业，推出具有地方特色的精品民俗活动和精品农业体验旅游活动。探索“旅游+创客基地+农业”发展模式，积极</w:t>
      </w:r>
      <w:r>
        <w:rPr>
          <w:rFonts w:hint="eastAsia" w:ascii="仿宋_GB2312" w:hAnsi="仿宋_GB2312" w:eastAsia="仿宋_GB2312" w:cs="Times New Roman"/>
          <w:color w:val="000000" w:themeColor="text1"/>
          <w:sz w:val="32"/>
          <w:szCs w:val="24"/>
          <w:highlight w:val="none"/>
          <w14:textFill>
            <w14:solidFill>
              <w14:schemeClr w14:val="tx1"/>
            </w14:solidFill>
          </w14:textFill>
        </w:rPr>
        <w:t>发展</w:t>
      </w:r>
      <w:r>
        <w:rPr>
          <w:rFonts w:ascii="仿宋_GB2312" w:hAnsi="仿宋_GB2312" w:eastAsia="仿宋_GB2312" w:cs="Times New Roman"/>
          <w:color w:val="000000" w:themeColor="text1"/>
          <w:sz w:val="32"/>
          <w:szCs w:val="24"/>
          <w:highlight w:val="none"/>
          <w14:textFill>
            <w14:solidFill>
              <w14:schemeClr w14:val="tx1"/>
            </w14:solidFill>
          </w14:textFill>
        </w:rPr>
        <w:t>“创意农业+休闲旅游+田园社区”模式，打造一批乡村休闲旅游示范点。</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发挥“银杏之都</w:t>
      </w:r>
      <w:r>
        <w:rPr>
          <w:rFonts w:ascii="仿宋_GB2312" w:hAnsi="仿宋_GB2312" w:eastAsia="仿宋_GB2312" w:cs="Arial"/>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幸福郯城”的品牌优势，</w:t>
      </w:r>
      <w:r>
        <w:rPr>
          <w:rFonts w:hint="eastAsia" w:ascii="仿宋_GB2312" w:hAnsi="仿宋_GB2312" w:eastAsia="仿宋_GB2312" w:cs="Times New Roman"/>
          <w:color w:val="000000" w:themeColor="text1"/>
          <w:sz w:val="32"/>
          <w:szCs w:val="32"/>
          <w:highlight w:val="none"/>
          <w14:textFill>
            <w14:solidFill>
              <w14:schemeClr w14:val="tx1"/>
            </w14:solidFill>
          </w14:textFill>
        </w:rPr>
        <w:t>加大旅游产品开发和促销，拉长银杏产业链，</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推动旅游与文化、林业、农业、体育、科技、教育、医疗等产业深度融合发展</w:t>
      </w:r>
      <w:r>
        <w:rPr>
          <w:rFonts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黑体"/>
          <w:color w:val="000000" w:themeColor="text1"/>
          <w:sz w:val="32"/>
          <w:szCs w:val="32"/>
          <w:highlight w:val="none"/>
          <w14:textFill>
            <w14:solidFill>
              <w14:schemeClr w14:val="tx1"/>
            </w14:solidFill>
          </w14:textFill>
        </w:rPr>
        <w:t>依托马头镇中共鲁南第一支部旧址、党性教育基地、郯马民俗文化馆等红色旅游景点，</w:t>
      </w:r>
      <w:r>
        <w:rPr>
          <w:rFonts w:ascii="仿宋_GB2312" w:hAnsi="仿宋_GB2312" w:eastAsia="仿宋_GB2312" w:cs="Times New Roman"/>
          <w:color w:val="000000" w:themeColor="text1"/>
          <w:sz w:val="32"/>
          <w:szCs w:val="24"/>
          <w:highlight w:val="none"/>
          <w14:textFill>
            <w14:solidFill>
              <w14:schemeClr w14:val="tx1"/>
            </w14:solidFill>
          </w14:textFill>
        </w:rPr>
        <w:t>建设沂蒙红色文化教育基地，构建独具特色的全域旅游发展格局，打造长三角休闲农业旅游“后花园”，吸引更多长三角游客来临沂观光旅游、休闲度假。加强与</w:t>
      </w:r>
      <w:r>
        <w:rPr>
          <w:rFonts w:hint="eastAsia" w:ascii="仿宋_GB2312" w:hAnsi="仿宋_GB2312" w:eastAsia="仿宋_GB2312" w:cs="Times New Roman"/>
          <w:color w:val="000000" w:themeColor="text1"/>
          <w:sz w:val="32"/>
          <w:szCs w:val="24"/>
          <w:highlight w:val="none"/>
          <w14:textFill>
            <w14:solidFill>
              <w14:schemeClr w14:val="tx1"/>
            </w14:solidFill>
          </w14:textFill>
        </w:rPr>
        <w:t>日照、枣庄、徐州、连云港等周边地市和京沪高铁二通道</w:t>
      </w:r>
      <w:r>
        <w:rPr>
          <w:rFonts w:ascii="仿宋_GB2312" w:hAnsi="仿宋_GB2312" w:eastAsia="仿宋_GB2312" w:cs="Times New Roman"/>
          <w:color w:val="000000" w:themeColor="text1"/>
          <w:sz w:val="32"/>
          <w:szCs w:val="24"/>
          <w:highlight w:val="none"/>
          <w14:textFill>
            <w14:solidFill>
              <w14:schemeClr w14:val="tx1"/>
            </w14:solidFill>
          </w14:textFill>
        </w:rPr>
        <w:t>沿线</w:t>
      </w:r>
      <w:r>
        <w:rPr>
          <w:rFonts w:hint="eastAsia" w:ascii="仿宋_GB2312" w:hAnsi="仿宋_GB2312" w:eastAsia="仿宋_GB2312" w:cs="Times New Roman"/>
          <w:color w:val="000000" w:themeColor="text1"/>
          <w:sz w:val="32"/>
          <w:szCs w:val="24"/>
          <w:highlight w:val="none"/>
          <w14:textFill>
            <w14:solidFill>
              <w14:schemeClr w14:val="tx1"/>
            </w14:solidFill>
          </w14:textFill>
        </w:rPr>
        <w:t>城市</w:t>
      </w:r>
      <w:r>
        <w:rPr>
          <w:rFonts w:ascii="仿宋_GB2312" w:hAnsi="仿宋_GB2312" w:eastAsia="仿宋_GB2312" w:cs="Times New Roman"/>
          <w:color w:val="000000" w:themeColor="text1"/>
          <w:sz w:val="32"/>
          <w:szCs w:val="24"/>
          <w:highlight w:val="none"/>
          <w14:textFill>
            <w14:solidFill>
              <w14:schemeClr w14:val="tx1"/>
            </w14:solidFill>
          </w14:textFill>
        </w:rPr>
        <w:t>协同配合，联合打造集自然风光、历史文化、红色资源等一体的精品旅游路线，一体推介，形成合力。“十四五”期间接待长三角游客人次平均每年增长1</w:t>
      </w:r>
      <w:r>
        <w:rPr>
          <w:rFonts w:hint="eastAsia" w:ascii="仿宋_GB2312" w:hAnsi="仿宋_GB2312" w:eastAsia="仿宋_GB2312" w:cs="Times New Roman"/>
          <w:color w:val="000000" w:themeColor="text1"/>
          <w:sz w:val="32"/>
          <w:szCs w:val="24"/>
          <w:highlight w:val="none"/>
          <w14:textFill>
            <w14:solidFill>
              <w14:schemeClr w14:val="tx1"/>
            </w14:solidFill>
          </w14:textFill>
        </w:rPr>
        <w:t>5</w:t>
      </w:r>
      <w:r>
        <w:rPr>
          <w:rFonts w:ascii="仿宋_GB2312" w:hAnsi="仿宋_GB2312" w:eastAsia="仿宋_GB2312" w:cs="Times New Roman"/>
          <w:color w:val="000000" w:themeColor="text1"/>
          <w:sz w:val="32"/>
          <w:szCs w:val="24"/>
          <w:highlight w:val="none"/>
          <w14:textFill>
            <w14:solidFill>
              <w14:schemeClr w14:val="tx1"/>
            </w14:solidFill>
          </w14:textFill>
        </w:rPr>
        <w:t>%以上。</w:t>
      </w:r>
      <w:r>
        <w:rPr>
          <w:rFonts w:hint="eastAsia" w:ascii="仿宋_GB2312" w:hAnsi="仿宋_GB2312" w:eastAsia="楷体_GB2312" w:cs="楷体_GB2312"/>
          <w:color w:val="000000" w:themeColor="text1"/>
          <w:sz w:val="32"/>
          <w:szCs w:val="24"/>
          <w:highlight w:val="none"/>
          <w14:textFill>
            <w14:solidFill>
              <w14:schemeClr w14:val="tx1"/>
            </w14:solidFill>
          </w14:textFill>
        </w:rPr>
        <w:t>（县文化和旅游局牵头，县农业农村局、县财政局等配合）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3.建设长三角产业转移“大后方”。</w:t>
      </w:r>
      <w:r>
        <w:rPr>
          <w:rFonts w:ascii="仿宋_GB2312" w:hAnsi="仿宋_GB2312" w:eastAsia="仿宋_GB2312" w:cs="Times New Roman"/>
          <w:color w:val="000000" w:themeColor="text1"/>
          <w:sz w:val="32"/>
          <w:szCs w:val="24"/>
          <w:highlight w:val="none"/>
          <w14:textFill>
            <w14:solidFill>
              <w14:schemeClr w14:val="tx1"/>
            </w14:solidFill>
          </w14:textFill>
        </w:rPr>
        <w:t>立足农业、旅游等资源优势，全面主动对接长三角地区，承接发展优势特色产业、改善承接产业转移环境、落实承接产业转移责任，</w:t>
      </w:r>
      <w:r>
        <w:rPr>
          <w:rFonts w:hint="eastAsia" w:ascii="仿宋_GB2312" w:hAnsi="仿宋_GB2312" w:eastAsia="仿宋_GB2312" w:cs="Times New Roman"/>
          <w:color w:val="000000" w:themeColor="text1"/>
          <w:sz w:val="32"/>
          <w:szCs w:val="24"/>
          <w:highlight w:val="none"/>
          <w14:textFill>
            <w14:solidFill>
              <w14:schemeClr w14:val="tx1"/>
            </w14:solidFill>
          </w14:textFill>
        </w:rPr>
        <w:t>深化</w:t>
      </w:r>
      <w:r>
        <w:rPr>
          <w:rFonts w:ascii="仿宋_GB2312" w:hAnsi="仿宋_GB2312" w:eastAsia="仿宋_GB2312" w:cs="Times New Roman"/>
          <w:color w:val="000000" w:themeColor="text1"/>
          <w:sz w:val="32"/>
          <w:szCs w:val="24"/>
          <w:highlight w:val="none"/>
          <w14:textFill>
            <w14:solidFill>
              <w14:schemeClr w14:val="tx1"/>
            </w14:solidFill>
          </w14:textFill>
        </w:rPr>
        <w:t>两地区域合作，促进两地产业互融，把我</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打造成为长三角地区产业转移“大后方”。</w:t>
      </w:r>
      <w:r>
        <w:rPr>
          <w:rFonts w:ascii="仿宋_GB2312" w:hAnsi="仿宋_GB2312" w:eastAsia="仿宋_GB2312" w:cs="Times New Roman"/>
          <w:color w:val="000000" w:themeColor="text1"/>
          <w:sz w:val="32"/>
          <w:szCs w:val="32"/>
          <w:highlight w:val="none"/>
          <w14:textFill>
            <w14:solidFill>
              <w14:schemeClr w14:val="tx1"/>
            </w14:solidFill>
          </w14:textFill>
        </w:rPr>
        <w:t>充分挖掘“3+1+N”招商模式潜力，尤其是充分发挥专业招商组主力军作用，在长三角地区开展多层次、多领域、多形式的商务洽谈活动</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积极参与市政府在长三角地区举办“沂蒙周”等系列招商活动，引进一批大项目，培植一批好产业；注重以商招商方式，充分挖掘落户郯城企业家人脉资源，深度推介郯城优良营商环境，提高招商引资质量。</w:t>
      </w:r>
      <w:r>
        <w:rPr>
          <w:rFonts w:ascii="仿宋_GB2312" w:hAnsi="仿宋_GB2312" w:eastAsia="仿宋_GB2312" w:cs="Times New Roman"/>
          <w:color w:val="000000" w:themeColor="text1"/>
          <w:sz w:val="32"/>
          <w:szCs w:val="24"/>
          <w:highlight w:val="none"/>
          <w14:textFill>
            <w14:solidFill>
              <w14:schemeClr w14:val="tx1"/>
            </w14:solidFill>
          </w14:textFill>
        </w:rPr>
        <w:t>加快承接长三角地区产业转移，促成一批高端产业项目落户</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w:t>
      </w:r>
      <w:r>
        <w:rPr>
          <w:rFonts w:ascii="仿宋_GB2312" w:hAnsi="仿宋_GB2312" w:eastAsia="仿宋_GB2312" w:cs="Times New Roman"/>
          <w:color w:val="000000" w:themeColor="text1"/>
          <w:sz w:val="32"/>
          <w:szCs w:val="24"/>
          <w:highlight w:val="none"/>
          <w14:textFill>
            <w14:solidFill>
              <w14:schemeClr w14:val="tx1"/>
            </w14:solidFill>
          </w14:textFill>
        </w:rPr>
        <w:t>，实现与长三角地区产业融合对接；把承接产业转移与全</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产业升级、结构调整紧密结合起来，吸纳长三角地区的资金、技术、人才和管理方法、经营理念，通过打造特色产业园区，引进集聚优质项目，为</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w:t>
      </w:r>
      <w:r>
        <w:rPr>
          <w:rFonts w:ascii="仿宋_GB2312" w:hAnsi="仿宋_GB2312" w:eastAsia="仿宋_GB2312" w:cs="Times New Roman"/>
          <w:color w:val="000000" w:themeColor="text1"/>
          <w:sz w:val="32"/>
          <w:szCs w:val="24"/>
          <w:highlight w:val="none"/>
          <w14:textFill>
            <w14:solidFill>
              <w14:schemeClr w14:val="tx1"/>
            </w14:solidFill>
          </w14:textFill>
        </w:rPr>
        <w:t>高质量发展提供支撑。抓住长三角地区产业转移有利时机，加强产业承接，优化产业布局，争取与上海在</w:t>
      </w:r>
      <w:r>
        <w:rPr>
          <w:rFonts w:hint="eastAsia" w:ascii="仿宋_GB2312" w:hAnsi="仿宋_GB2312" w:eastAsia="仿宋_GB2312" w:cs="Times New Roman"/>
          <w:color w:val="000000" w:themeColor="text1"/>
          <w:sz w:val="32"/>
          <w:szCs w:val="24"/>
          <w:highlight w:val="none"/>
          <w14:textFill>
            <w14:solidFill>
              <w14:schemeClr w14:val="tx1"/>
            </w14:solidFill>
          </w14:textFill>
        </w:rPr>
        <w:t>郯城</w:t>
      </w:r>
      <w:r>
        <w:rPr>
          <w:rFonts w:ascii="仿宋_GB2312" w:hAnsi="仿宋_GB2312" w:eastAsia="仿宋_GB2312" w:cs="Times New Roman"/>
          <w:color w:val="000000" w:themeColor="text1"/>
          <w:sz w:val="32"/>
          <w:szCs w:val="24"/>
          <w:highlight w:val="none"/>
          <w14:textFill>
            <w14:solidFill>
              <w14:schemeClr w14:val="tx1"/>
            </w14:solidFill>
          </w14:textFill>
        </w:rPr>
        <w:t>共建乡村振兴齐鲁样板示范基地。</w:t>
      </w:r>
      <w:r>
        <w:rPr>
          <w:rFonts w:hint="eastAsia" w:ascii="仿宋_GB2312" w:hAnsi="仿宋_GB2312" w:eastAsia="楷体_GB2312" w:cs="楷体_GB2312"/>
          <w:color w:val="000000" w:themeColor="text1"/>
          <w:sz w:val="32"/>
          <w:szCs w:val="24"/>
          <w:highlight w:val="none"/>
          <w14:textFill>
            <w14:solidFill>
              <w14:schemeClr w14:val="tx1"/>
            </w14:solidFill>
          </w14:textFill>
        </w:rPr>
        <w:t>（县商务局牵头，县发改局、县工信局、县自然资源和规划局、县财政局、县农业农村局等配合）</w:t>
      </w:r>
    </w:p>
    <w:p>
      <w:pPr>
        <w:pStyle w:val="17"/>
        <w:spacing w:after="0" w:line="600" w:lineRule="exact"/>
        <w:ind w:left="0" w:leftChars="0"/>
        <w:rPr>
          <w:color w:val="000000" w:themeColor="text1"/>
          <w:highlight w:val="none"/>
          <w14:textFill>
            <w14:solidFill>
              <w14:schemeClr w14:val="tx1"/>
            </w14:solidFill>
          </w14:textFill>
        </w:rPr>
      </w:pP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66" w:type="dxa"/>
          </w:tcPr>
          <w:p>
            <w:pPr>
              <w:spacing w:line="600" w:lineRule="exact"/>
              <w:jc w:val="center"/>
              <w:rPr>
                <w:rFonts w:ascii="方正小标宋简体" w:hAnsi="方正小标宋简体" w:eastAsia="方正小标宋简体" w:cs="方正小标宋简体"/>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28"/>
                <w:szCs w:val="28"/>
                <w:highlight w:val="none"/>
                <w14:textFill>
                  <w14:solidFill>
                    <w14:schemeClr w14:val="tx1"/>
                  </w14:solidFill>
                </w14:textFill>
              </w:rPr>
              <w:t>专栏2 对接长三角“三步走”重点工程</w:t>
            </w:r>
          </w:p>
          <w:p>
            <w:pPr>
              <w:spacing w:line="600" w:lineRule="exact"/>
              <w:ind w:firstLine="482" w:firstLineChars="200"/>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1.菜篮子工程。</w:t>
            </w:r>
            <w:r>
              <w:rPr>
                <w:rFonts w:ascii="仿宋_GB2312" w:hAnsi="仿宋_GB2312" w:eastAsia="仿宋_GB2312" w:cs="Times New Roman"/>
                <w:color w:val="000000" w:themeColor="text1"/>
                <w:sz w:val="24"/>
                <w:szCs w:val="24"/>
                <w:highlight w:val="none"/>
                <w14:textFill>
                  <w14:solidFill>
                    <w14:schemeClr w14:val="tx1"/>
                  </w14:solidFill>
                </w14:textFill>
              </w:rPr>
              <w:t>以</w:t>
            </w:r>
            <w:r>
              <w:rPr>
                <w:rFonts w:hint="eastAsia" w:ascii="仿宋_GB2312" w:hAnsi="仿宋_GB2312" w:eastAsia="仿宋_GB2312" w:cs="Times New Roman"/>
                <w:color w:val="000000" w:themeColor="text1"/>
                <w:sz w:val="24"/>
                <w:szCs w:val="24"/>
                <w:highlight w:val="none"/>
                <w14:textFill>
                  <w14:solidFill>
                    <w14:schemeClr w14:val="tx1"/>
                  </w14:solidFill>
                </w14:textFill>
              </w:rPr>
              <w:t>红花、港上、花园、泉源蔬菜</w:t>
            </w:r>
            <w:r>
              <w:rPr>
                <w:rFonts w:ascii="仿宋_GB2312" w:hAnsi="仿宋_GB2312" w:eastAsia="仿宋_GB2312" w:cs="Times New Roman"/>
                <w:color w:val="000000" w:themeColor="text1"/>
                <w:sz w:val="24"/>
                <w:szCs w:val="24"/>
                <w:highlight w:val="none"/>
                <w14:textFill>
                  <w14:solidFill>
                    <w14:schemeClr w14:val="tx1"/>
                  </w14:solidFill>
                </w14:textFill>
              </w:rPr>
              <w:t>为重点区域，建设蔬菜标准</w:t>
            </w:r>
            <w:r>
              <w:rPr>
                <w:rFonts w:hint="eastAsia" w:ascii="仿宋_GB2312" w:hAnsi="仿宋_GB2312" w:eastAsia="仿宋_GB2312" w:cs="Times New Roman"/>
                <w:color w:val="000000" w:themeColor="text1"/>
                <w:sz w:val="24"/>
                <w:szCs w:val="24"/>
                <w:highlight w:val="none"/>
                <w14:textFill>
                  <w14:solidFill>
                    <w14:schemeClr w14:val="tx1"/>
                  </w14:solidFill>
                </w14:textFill>
              </w:rPr>
              <w:t>基地10</w:t>
            </w:r>
            <w:r>
              <w:rPr>
                <w:rFonts w:ascii="仿宋_GB2312" w:hAnsi="仿宋_GB2312" w:eastAsia="仿宋_GB2312" w:cs="Times New Roman"/>
                <w:color w:val="000000" w:themeColor="text1"/>
                <w:sz w:val="24"/>
                <w:szCs w:val="24"/>
                <w:highlight w:val="none"/>
                <w14:textFill>
                  <w14:solidFill>
                    <w14:schemeClr w14:val="tx1"/>
                  </w14:solidFill>
                </w14:textFill>
              </w:rPr>
              <w:t>万亩。提升果蔬种植基地，扩大规模，增加品种。重点打造脱水蔬菜加工产业</w:t>
            </w:r>
            <w:r>
              <w:rPr>
                <w:rFonts w:hint="eastAsia" w:ascii="仿宋_GB2312" w:hAnsi="仿宋_GB2312" w:eastAsia="仿宋_GB2312" w:cs="Times New Roman"/>
                <w:color w:val="000000" w:themeColor="text1"/>
                <w:sz w:val="24"/>
                <w:szCs w:val="24"/>
                <w:highlight w:val="none"/>
                <w14:textFill>
                  <w14:solidFill>
                    <w14:schemeClr w14:val="tx1"/>
                  </w14:solidFill>
                </w14:textFill>
              </w:rPr>
              <w:t>、预制菜加工产业</w:t>
            </w:r>
            <w:r>
              <w:rPr>
                <w:rFonts w:ascii="仿宋_GB2312" w:hAnsi="仿宋_GB2312" w:eastAsia="仿宋_GB2312" w:cs="Times New Roman"/>
                <w:color w:val="000000" w:themeColor="text1"/>
                <w:sz w:val="24"/>
                <w:szCs w:val="24"/>
                <w:highlight w:val="none"/>
                <w14:textFill>
                  <w14:solidFill>
                    <w14:schemeClr w14:val="tx1"/>
                  </w14:solidFill>
                </w14:textFill>
              </w:rPr>
              <w:t>集群。</w:t>
            </w:r>
            <w:r>
              <w:rPr>
                <w:rFonts w:hint="eastAsia" w:ascii="仿宋_GB2312" w:hAnsi="仿宋_GB2312" w:eastAsia="楷体_GB2312" w:cs="楷体_GB2312"/>
                <w:color w:val="000000" w:themeColor="text1"/>
                <w:sz w:val="24"/>
                <w:szCs w:val="24"/>
                <w:highlight w:val="none"/>
                <w14:textFill>
                  <w14:solidFill>
                    <w14:schemeClr w14:val="tx1"/>
                  </w14:solidFill>
                </w14:textFill>
              </w:rPr>
              <w:t>（县农业农村局牵头）</w:t>
            </w:r>
          </w:p>
          <w:p>
            <w:pPr>
              <w:spacing w:line="600" w:lineRule="exact"/>
              <w:ind w:firstLine="482" w:firstLineChars="200"/>
              <w:rPr>
                <w:rFonts w:ascii="仿宋_GB2312" w:hAnsi="仿宋_GB2312" w:eastAsia="仿宋_GB2312" w:cs="Times New Roman"/>
                <w:color w:val="000000" w:themeColor="text1"/>
                <w:sz w:val="24"/>
                <w:szCs w:val="24"/>
                <w:highlight w:val="none"/>
                <w14:textFill>
                  <w14:solidFill>
                    <w14:schemeClr w14:val="tx1"/>
                  </w14:solidFill>
                </w14:textFill>
              </w:rPr>
            </w:pPr>
            <w:r>
              <w:rPr>
                <w:rFonts w:hint="eastAsia" w:ascii="仿宋_GB2312" w:hAnsi="仿宋_GB2312" w:eastAsia="仿宋_GB2312" w:cs="Times New Roman"/>
                <w:b/>
                <w:bCs/>
                <w:color w:val="000000" w:themeColor="text1"/>
                <w:sz w:val="24"/>
                <w:szCs w:val="24"/>
                <w:highlight w:val="none"/>
                <w14:textFill>
                  <w14:solidFill>
                    <w14:schemeClr w14:val="tx1"/>
                  </w14:solidFill>
                </w14:textFill>
              </w:rPr>
              <w:t>2</w:t>
            </w:r>
            <w:r>
              <w:rPr>
                <w:rFonts w:ascii="仿宋_GB2312" w:hAnsi="仿宋_GB2312" w:eastAsia="仿宋_GB2312" w:cs="Times New Roman"/>
                <w:b/>
                <w:bCs/>
                <w:color w:val="000000" w:themeColor="text1"/>
                <w:sz w:val="24"/>
                <w:szCs w:val="24"/>
                <w:highlight w:val="none"/>
                <w14:textFill>
                  <w14:solidFill>
                    <w14:schemeClr w14:val="tx1"/>
                  </w14:solidFill>
                </w14:textFill>
              </w:rPr>
              <w:t>.肉篮子工程。</w:t>
            </w:r>
            <w:r>
              <w:rPr>
                <w:rFonts w:ascii="仿宋_GB2312" w:hAnsi="仿宋_GB2312" w:eastAsia="仿宋_GB2312" w:cs="Times New Roman"/>
                <w:color w:val="000000" w:themeColor="text1"/>
                <w:sz w:val="24"/>
                <w:szCs w:val="24"/>
                <w:highlight w:val="none"/>
                <w14:textFill>
                  <w14:solidFill>
                    <w14:schemeClr w14:val="tx1"/>
                  </w14:solidFill>
                </w14:textFill>
              </w:rPr>
              <w:t>大力发展现代畜禽养殖业，</w:t>
            </w:r>
            <w:r>
              <w:rPr>
                <w:rFonts w:hint="eastAsia" w:ascii="仿宋_GB2312" w:hAnsi="仿宋_GB2312" w:eastAsia="仿宋_GB2312" w:cs="Times New Roman"/>
                <w:color w:val="000000" w:themeColor="text1"/>
                <w:sz w:val="24"/>
                <w:szCs w:val="24"/>
                <w:highlight w:val="none"/>
                <w14:textFill>
                  <w14:solidFill>
                    <w14:schemeClr w14:val="tx1"/>
                  </w14:solidFill>
                </w14:textFill>
              </w:rPr>
              <w:t>以杨集、归昌、马头等地为基础，充分考虑环境承载能力，合理布局建设一批生猪、肉鸡养殖基地。积极支持孵化、养殖、畜禽屠宰及畜禽产品加工、饲料生产等行业发展，全力打造生猪、肉鸡全产业链。持续开展标准化养殖示范创建，每年创建市级以上标准化养殖示范场3家。</w:t>
            </w:r>
            <w:r>
              <w:rPr>
                <w:rFonts w:hint="eastAsia" w:ascii="仿宋_GB2312" w:hAnsi="仿宋_GB2312" w:eastAsia="楷体_GB2312" w:cs="楷体_GB2312"/>
                <w:color w:val="000000" w:themeColor="text1"/>
                <w:sz w:val="24"/>
                <w:szCs w:val="24"/>
                <w:highlight w:val="none"/>
                <w14:textFill>
                  <w14:solidFill>
                    <w14:schemeClr w14:val="tx1"/>
                  </w14:solidFill>
                </w14:textFill>
              </w:rPr>
              <w:t>（县农业农村局牵头）</w:t>
            </w:r>
          </w:p>
          <w:p>
            <w:pPr>
              <w:spacing w:line="600" w:lineRule="exact"/>
              <w:ind w:firstLine="482"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仿宋_GB2312" w:cs="Times New Roman"/>
                <w:b/>
                <w:bCs/>
                <w:color w:val="000000" w:themeColor="text1"/>
                <w:sz w:val="24"/>
                <w:szCs w:val="24"/>
                <w:highlight w:val="none"/>
                <w14:textFill>
                  <w14:solidFill>
                    <w14:schemeClr w14:val="tx1"/>
                  </w14:solidFill>
                </w14:textFill>
              </w:rPr>
              <w:t>3</w:t>
            </w:r>
            <w:r>
              <w:rPr>
                <w:rFonts w:ascii="仿宋_GB2312" w:hAnsi="仿宋_GB2312" w:eastAsia="仿宋_GB2312" w:cs="Times New Roman"/>
                <w:b/>
                <w:bCs/>
                <w:color w:val="000000" w:themeColor="text1"/>
                <w:sz w:val="24"/>
                <w:szCs w:val="24"/>
                <w:highlight w:val="none"/>
                <w14:textFill>
                  <w14:solidFill>
                    <w14:schemeClr w14:val="tx1"/>
                  </w14:solidFill>
                </w14:textFill>
              </w:rPr>
              <w:t>.米袋子工程。</w:t>
            </w:r>
            <w:r>
              <w:rPr>
                <w:rFonts w:ascii="仿宋_GB2312" w:hAnsi="仿宋_GB2312" w:eastAsia="仿宋_GB2312" w:cs="Times New Roman"/>
                <w:color w:val="000000" w:themeColor="text1"/>
                <w:sz w:val="24"/>
                <w:szCs w:val="24"/>
                <w:highlight w:val="none"/>
                <w14:textFill>
                  <w14:solidFill>
                    <w14:schemeClr w14:val="tx1"/>
                  </w14:solidFill>
                </w14:textFill>
              </w:rPr>
              <w:t>围绕确保粮食安全，</w:t>
            </w:r>
            <w:r>
              <w:rPr>
                <w:rFonts w:hint="eastAsia" w:ascii="仿宋_GB2312" w:hAnsi="仿宋_GB2312" w:eastAsia="仿宋_GB2312" w:cs="Times New Roman"/>
                <w:color w:val="000000" w:themeColor="text1"/>
                <w:sz w:val="24"/>
                <w:szCs w:val="24"/>
                <w:highlight w:val="none"/>
                <w14:textFill>
                  <w14:solidFill>
                    <w14:schemeClr w14:val="tx1"/>
                  </w14:solidFill>
                </w14:textFill>
              </w:rPr>
              <w:t>提升小麦精</w:t>
            </w:r>
            <w:r>
              <w:rPr>
                <w:rFonts w:hint="eastAsia" w:ascii="仿宋_GB2312" w:hAnsi="仿宋_GB2312" w:eastAsia="仿宋_GB2312" w:cs="Times New Roman"/>
                <w:color w:val="000000" w:themeColor="text1"/>
                <w:sz w:val="24"/>
                <w:szCs w:val="24"/>
                <w:highlight w:val="none"/>
                <w:lang w:val="en-US" w:eastAsia="zh-CN"/>
                <w14:textFill>
                  <w14:solidFill>
                    <w14:schemeClr w14:val="tx1"/>
                  </w14:solidFill>
                </w14:textFill>
              </w:rPr>
              <w:t>深</w:t>
            </w:r>
            <w:r>
              <w:rPr>
                <w:rFonts w:hint="eastAsia" w:ascii="仿宋_GB2312" w:hAnsi="仿宋_GB2312" w:eastAsia="仿宋_GB2312" w:cs="Times New Roman"/>
                <w:color w:val="000000" w:themeColor="text1"/>
                <w:sz w:val="24"/>
                <w:szCs w:val="24"/>
                <w:highlight w:val="none"/>
                <w14:textFill>
                  <w14:solidFill>
                    <w14:schemeClr w14:val="tx1"/>
                  </w14:solidFill>
                </w14:textFill>
              </w:rPr>
              <w:t>加工能力，引进稻米加工龙头企业，重点支持归昌、杨集、花园等地优质水稻和泉源、庙山、李庄等地专用小麦生产，优质专用粮食年种植面积60万亩以上。</w:t>
            </w:r>
            <w:r>
              <w:rPr>
                <w:rFonts w:hint="eastAsia" w:ascii="仿宋_GB2312" w:hAnsi="仿宋_GB2312" w:eastAsia="楷体_GB2312" w:cs="楷体_GB2312"/>
                <w:color w:val="000000" w:themeColor="text1"/>
                <w:sz w:val="24"/>
                <w:szCs w:val="24"/>
                <w:highlight w:val="none"/>
                <w14:textFill>
                  <w14:solidFill>
                    <w14:schemeClr w14:val="tx1"/>
                  </w14:solidFill>
                </w14:textFill>
              </w:rPr>
              <w:t>（县农业农村局、县发改局牵头）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（三）推动产镇村融合发展，构建现代乡村产业体系</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1.推进农村一二三产业融合发展。</w:t>
      </w:r>
      <w:r>
        <w:rPr>
          <w:rFonts w:ascii="仿宋_GB2312" w:hAnsi="仿宋_GB2312" w:eastAsia="仿宋_GB2312" w:cs="Times New Roman"/>
          <w:color w:val="000000" w:themeColor="text1"/>
          <w:sz w:val="32"/>
          <w:szCs w:val="32"/>
          <w:highlight w:val="none"/>
          <w14:textFill>
            <w14:solidFill>
              <w14:schemeClr w14:val="tx1"/>
            </w14:solidFill>
          </w14:textFill>
        </w:rPr>
        <w:t>积极拓展农业多种功能，促进农林牧渔与加工、流通、旅游、文化等产业深度融合，推动产业链相加、价值链相乘、供应链相通的“三链重构”，促进一产与二三产业深度融合。做大做强农产品加工业，以“粮头食尾”“农头工尾”为着力点，推进农产品产地初加工、精深加工及综合利用协调发展。</w:t>
      </w:r>
      <w:r>
        <w:rPr>
          <w:rFonts w:hint="eastAsia" w:ascii="仿宋_GB2312" w:hAnsi="仿宋_GB2312" w:eastAsia="仿宋_GB2312" w:cs="Times New Roman"/>
          <w:color w:val="000000" w:themeColor="text1"/>
          <w:sz w:val="32"/>
          <w:szCs w:val="32"/>
          <w:highlight w:val="none"/>
          <w14:textFill>
            <w14:solidFill>
              <w14:schemeClr w14:val="tx1"/>
            </w14:solidFill>
          </w14:textFill>
        </w:rPr>
        <w:t>利用我县农业优势</w:t>
      </w:r>
      <w:r>
        <w:rPr>
          <w:rFonts w:ascii="仿宋_GB2312" w:hAnsi="仿宋_GB2312" w:eastAsia="仿宋_GB2312" w:cs="Times New Roman"/>
          <w:color w:val="000000" w:themeColor="text1"/>
          <w:sz w:val="32"/>
          <w:szCs w:val="32"/>
          <w:highlight w:val="none"/>
          <w14:textFill>
            <w14:solidFill>
              <w14:schemeClr w14:val="tx1"/>
            </w14:solidFill>
          </w14:textFill>
        </w:rPr>
        <w:t>，</w:t>
      </w:r>
      <w:r>
        <w:rPr>
          <w:rFonts w:hint="eastAsia" w:ascii="仿宋_GB2312" w:hAnsi="仿宋_GB2312" w:eastAsia="仿宋_GB2312" w:cs="Times New Roman"/>
          <w:color w:val="000000" w:themeColor="text1"/>
          <w:sz w:val="32"/>
          <w:szCs w:val="32"/>
          <w:highlight w:val="none"/>
          <w14:textFill>
            <w14:solidFill>
              <w14:schemeClr w14:val="tx1"/>
            </w14:solidFill>
          </w14:textFill>
        </w:rPr>
        <w:t>大力</w:t>
      </w:r>
      <w:r>
        <w:rPr>
          <w:rFonts w:ascii="仿宋_GB2312" w:hAnsi="仿宋_GB2312" w:eastAsia="仿宋_GB2312" w:cs="Times New Roman"/>
          <w:color w:val="000000" w:themeColor="text1"/>
          <w:sz w:val="32"/>
          <w:szCs w:val="32"/>
          <w:highlight w:val="none"/>
          <w14:textFill>
            <w14:solidFill>
              <w14:schemeClr w14:val="tx1"/>
            </w14:solidFill>
          </w14:textFill>
        </w:rPr>
        <w:t>支持粮食</w:t>
      </w:r>
      <w:r>
        <w:rPr>
          <w:rFonts w:hint="eastAsia" w:ascii="仿宋_GB2312" w:hAnsi="仿宋_GB2312" w:eastAsia="仿宋_GB2312" w:cs="Times New Roman"/>
          <w:color w:val="000000" w:themeColor="text1"/>
          <w:sz w:val="32"/>
          <w:szCs w:val="32"/>
          <w:highlight w:val="none"/>
          <w14:textFill>
            <w14:solidFill>
              <w14:schemeClr w14:val="tx1"/>
            </w14:solidFill>
          </w14:textFill>
        </w:rPr>
        <w:t>和</w:t>
      </w:r>
      <w:r>
        <w:rPr>
          <w:rFonts w:ascii="仿宋_GB2312" w:hAnsi="仿宋_GB2312" w:eastAsia="仿宋_GB2312" w:cs="Times New Roman"/>
          <w:color w:val="000000" w:themeColor="text1"/>
          <w:sz w:val="32"/>
          <w:szCs w:val="32"/>
          <w:highlight w:val="none"/>
          <w14:textFill>
            <w14:solidFill>
              <w14:schemeClr w14:val="tx1"/>
            </w14:solidFill>
          </w14:textFill>
        </w:rPr>
        <w:t>特色农产品精深加工，引导加工企业向中心镇、专业村聚集。到2025年，市级以上农业产业化龙头企业达到</w:t>
      </w:r>
      <w:r>
        <w:rPr>
          <w:rFonts w:hint="eastAsia" w:ascii="仿宋_GB2312" w:hAnsi="仿宋_GB2312" w:eastAsia="仿宋_GB2312" w:cs="Times New Roman"/>
          <w:color w:val="000000" w:themeColor="text1"/>
          <w:sz w:val="32"/>
          <w:szCs w:val="32"/>
          <w:highlight w:val="none"/>
          <w14:textFill>
            <w14:solidFill>
              <w14:schemeClr w14:val="tx1"/>
            </w14:solidFill>
          </w14:textFill>
        </w:rPr>
        <w:t>60</w:t>
      </w:r>
      <w:r>
        <w:rPr>
          <w:rFonts w:ascii="仿宋_GB2312" w:hAnsi="仿宋_GB2312" w:eastAsia="仿宋_GB2312" w:cs="Times New Roman"/>
          <w:color w:val="000000" w:themeColor="text1"/>
          <w:sz w:val="32"/>
          <w:szCs w:val="32"/>
          <w:highlight w:val="none"/>
          <w14:textFill>
            <w14:solidFill>
              <w14:schemeClr w14:val="tx1"/>
            </w14:solidFill>
          </w14:textFill>
        </w:rPr>
        <w:t>家</w:t>
      </w:r>
      <w:r>
        <w:rPr>
          <w:rFonts w:hint="eastAsia" w:ascii="仿宋_GB2312" w:hAnsi="仿宋_GB2312" w:eastAsia="仿宋_GB2312" w:cs="Times New Roman"/>
          <w:color w:val="000000" w:themeColor="text1"/>
          <w:sz w:val="32"/>
          <w:szCs w:val="32"/>
          <w:highlight w:val="none"/>
          <w14:textFill>
            <w14:solidFill>
              <w14:schemeClr w14:val="tx1"/>
            </w14:solidFill>
          </w14:textFill>
        </w:rPr>
        <w:t>（其中畜牧企业20家）</w:t>
      </w:r>
      <w:r>
        <w:rPr>
          <w:rFonts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24"/>
          <w:highlight w:val="none"/>
          <w14:textFill>
            <w14:solidFill>
              <w14:schemeClr w14:val="tx1"/>
            </w14:solidFill>
          </w14:textFill>
        </w:rPr>
        <w:t>依托各</w:t>
      </w:r>
      <w:r>
        <w:rPr>
          <w:rFonts w:hint="eastAsia" w:ascii="仿宋_GB2312" w:hAnsi="仿宋_GB2312" w:eastAsia="仿宋_GB2312" w:cs="Times New Roman"/>
          <w:color w:val="000000" w:themeColor="text1"/>
          <w:sz w:val="32"/>
          <w:szCs w:val="24"/>
          <w:highlight w:val="none"/>
          <w14:textFill>
            <w14:solidFill>
              <w14:schemeClr w14:val="tx1"/>
            </w14:solidFill>
          </w14:textFill>
        </w:rPr>
        <w:t>乡镇区</w:t>
      </w:r>
      <w:r>
        <w:rPr>
          <w:rFonts w:ascii="仿宋_GB2312" w:hAnsi="仿宋_GB2312" w:eastAsia="仿宋_GB2312" w:cs="Times New Roman"/>
          <w:color w:val="000000" w:themeColor="text1"/>
          <w:sz w:val="32"/>
          <w:szCs w:val="24"/>
          <w:highlight w:val="none"/>
          <w14:textFill>
            <w14:solidFill>
              <w14:schemeClr w14:val="tx1"/>
            </w14:solidFill>
          </w14:textFill>
        </w:rPr>
        <w:t>位条件、资源特色，大力发展休闲观光农业、休闲渔业、农家乐，推出一批湿地公园、慢生活村落、农事体验庄园、畜牧体验牧场、渔业文化体验园、中医养生基地等乡村旅游产品。探索发展乡村旅游新模式，以美丽乡村撬动乡村旅游，以乡村旅游做活美丽经济。到2025年，</w:t>
      </w:r>
      <w:r>
        <w:rPr>
          <w:rFonts w:hint="eastAsia" w:ascii="仿宋_GB2312" w:hAnsi="仿宋_GB2312" w:eastAsia="仿宋_GB2312" w:cs="Times New Roman"/>
          <w:color w:val="000000" w:themeColor="text1"/>
          <w:sz w:val="32"/>
          <w:szCs w:val="24"/>
          <w:highlight w:val="none"/>
          <w14:textFill>
            <w14:solidFill>
              <w14:schemeClr w14:val="tx1"/>
            </w14:solidFill>
          </w14:textFill>
        </w:rPr>
        <w:t>培育</w:t>
      </w:r>
      <w:r>
        <w:rPr>
          <w:rFonts w:ascii="仿宋_GB2312" w:hAnsi="仿宋_GB2312" w:eastAsia="仿宋_GB2312" w:cs="Times New Roman"/>
          <w:color w:val="000000" w:themeColor="text1"/>
          <w:sz w:val="32"/>
          <w:szCs w:val="24"/>
          <w:highlight w:val="none"/>
          <w14:textFill>
            <w14:solidFill>
              <w14:schemeClr w14:val="tx1"/>
            </w14:solidFill>
          </w14:textFill>
        </w:rPr>
        <w:t>景区化建设</w:t>
      </w:r>
      <w:r>
        <w:rPr>
          <w:rFonts w:hint="eastAsia" w:ascii="仿宋_GB2312" w:hAnsi="仿宋_GB2312" w:eastAsia="仿宋_GB2312" w:cs="Times New Roman"/>
          <w:color w:val="000000" w:themeColor="text1"/>
          <w:sz w:val="32"/>
          <w:szCs w:val="32"/>
          <w:highlight w:val="none"/>
          <w14:textFill>
            <w14:solidFill>
              <w14:schemeClr w14:val="tx1"/>
            </w14:solidFill>
          </w14:textFill>
        </w:rPr>
        <w:t>8</w:t>
      </w:r>
      <w:r>
        <w:rPr>
          <w:rFonts w:ascii="仿宋_GB2312" w:hAnsi="仿宋_GB2312" w:eastAsia="仿宋_GB2312" w:cs="Times New Roman"/>
          <w:color w:val="000000" w:themeColor="text1"/>
          <w:sz w:val="32"/>
          <w:szCs w:val="24"/>
          <w:highlight w:val="none"/>
          <w14:textFill>
            <w14:solidFill>
              <w14:schemeClr w14:val="tx1"/>
            </w14:solidFill>
          </w14:textFill>
        </w:rPr>
        <w:t>个特色村，打造一批乡村休闲旅游产品。立足科技进步和模式创新，发展智慧农业、农村电商等新产业新业态。大力发展乡村新型服务业，实施农产品产地冷藏保鲜设施建设工程，完善农村生活性服务业支持政策，扩大农村消费。</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（县农业农村局、县文化和旅游局、县商务局等分工负责）</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2.推进现代农业园区化发展。</w:t>
      </w:r>
      <w:r>
        <w:rPr>
          <w:rFonts w:ascii="仿宋_GB2312" w:hAnsi="仿宋_GB2312" w:eastAsia="仿宋_GB2312" w:cs="Times New Roman"/>
          <w:color w:val="000000" w:themeColor="text1"/>
          <w:sz w:val="32"/>
          <w:szCs w:val="32"/>
          <w:highlight w:val="none"/>
          <w14:textFill>
            <w14:solidFill>
              <w14:schemeClr w14:val="tx1"/>
            </w14:solidFill>
          </w14:textFill>
        </w:rPr>
        <w:t>推动现代农业产业园、科技园、创业园以及农业产业化联合体建设。立足</w:t>
      </w:r>
      <w:r>
        <w:rPr>
          <w:rFonts w:hint="eastAsia" w:ascii="仿宋_GB2312" w:hAnsi="仿宋_GB2312" w:eastAsia="仿宋_GB2312" w:cs="Times New Roman"/>
          <w:color w:val="000000" w:themeColor="text1"/>
          <w:sz w:val="32"/>
          <w:szCs w:val="32"/>
          <w:highlight w:val="none"/>
          <w14:textFill>
            <w14:solidFill>
              <w14:schemeClr w14:val="tx1"/>
            </w14:solidFill>
          </w14:textFill>
        </w:rPr>
        <w:t>我县</w:t>
      </w:r>
      <w:r>
        <w:rPr>
          <w:rFonts w:ascii="仿宋_GB2312" w:hAnsi="仿宋_GB2312" w:eastAsia="仿宋_GB2312" w:cs="Times New Roman"/>
          <w:color w:val="000000" w:themeColor="text1"/>
          <w:sz w:val="32"/>
          <w:szCs w:val="32"/>
          <w:highlight w:val="none"/>
          <w14:textFill>
            <w14:solidFill>
              <w14:schemeClr w14:val="tx1"/>
            </w14:solidFill>
          </w14:textFill>
        </w:rPr>
        <w:t>主导产业和特色产业，规划建设现代农业园区，引导农业龙头企业向优势区域集聚。</w:t>
      </w:r>
      <w:r>
        <w:rPr>
          <w:rFonts w:hint="eastAsia" w:ascii="仿宋_GB2312" w:hAnsi="仿宋_GB2312" w:eastAsia="仿宋_GB2312" w:cs="Times New Roman"/>
          <w:color w:val="000000" w:themeColor="text1"/>
          <w:sz w:val="32"/>
          <w:szCs w:val="32"/>
          <w:highlight w:val="none"/>
          <w14:textFill>
            <w14:solidFill>
              <w14:schemeClr w14:val="tx1"/>
            </w14:solidFill>
          </w14:textFill>
        </w:rPr>
        <w:t>积极开展农产品加工业示范创建，每年争创1处农产品加工产业园区。加快郯城县省级现代农业产业园创建步伐，以此为基础，积极争创国家级产业园。启动县级产业园创建工作，推动乡镇特色产业园区化发展，争取创建市级现代农业产业园4个。</w:t>
      </w:r>
      <w:r>
        <w:rPr>
          <w:rFonts w:ascii="仿宋_GB2312" w:hAnsi="仿宋_GB2312" w:eastAsia="仿宋_GB2312" w:cs="Times New Roman"/>
          <w:color w:val="000000" w:themeColor="text1"/>
          <w:sz w:val="32"/>
          <w:szCs w:val="32"/>
          <w:highlight w:val="none"/>
          <w14:textFill>
            <w14:solidFill>
              <w14:schemeClr w14:val="tx1"/>
            </w14:solidFill>
          </w14:textFill>
        </w:rPr>
        <w:t>推广“龙头企业+基地+合作社（家庭农场）+农户”的发展模式，促进农业产业化联合体做大做强。建设一批技术先进、设施装备领先、经营机制完善、三产融合发展、资源集约高效的现代渔业园区。</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（县农业农村局、县科技局等分工负责）</w:t>
      </w:r>
    </w:p>
    <w:p>
      <w:pPr>
        <w:kinsoku w:val="0"/>
        <w:overflowPunct w:val="0"/>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3.加快建设县乡村三级商贸流通服务网络。</w:t>
      </w:r>
      <w:r>
        <w:rPr>
          <w:rFonts w:ascii="仿宋_GB2312" w:hAnsi="仿宋_GB2312" w:eastAsia="仿宋_GB2312" w:cs="Times New Roman"/>
          <w:color w:val="000000" w:themeColor="text1"/>
          <w:sz w:val="32"/>
          <w:szCs w:val="24"/>
          <w:highlight w:val="none"/>
          <w14:textFill>
            <w14:solidFill>
              <w14:schemeClr w14:val="tx1"/>
            </w14:solidFill>
          </w14:textFill>
        </w:rPr>
        <w:t>统筹城乡服务资源，培育壮大</w:t>
      </w:r>
      <w:r>
        <w:rPr>
          <w:rFonts w:hint="eastAsia" w:ascii="仿宋_GB2312" w:hAnsi="仿宋_GB2312" w:eastAsia="仿宋_GB2312" w:cs="Times New Roman"/>
          <w:color w:val="000000" w:themeColor="text1"/>
          <w:sz w:val="32"/>
          <w:szCs w:val="24"/>
          <w:highlight w:val="none"/>
          <w14:textFill>
            <w14:solidFill>
              <w14:schemeClr w14:val="tx1"/>
            </w14:solidFill>
          </w14:textFill>
        </w:rPr>
        <w:t>2-3家</w:t>
      </w:r>
      <w:r>
        <w:rPr>
          <w:rFonts w:ascii="仿宋_GB2312" w:hAnsi="仿宋_GB2312" w:eastAsia="仿宋_GB2312" w:cs="Times New Roman"/>
          <w:color w:val="000000" w:themeColor="text1"/>
          <w:sz w:val="32"/>
          <w:szCs w:val="24"/>
          <w:highlight w:val="none"/>
          <w14:textFill>
            <w14:solidFill>
              <w14:schemeClr w14:val="tx1"/>
            </w14:solidFill>
          </w14:textFill>
        </w:rPr>
        <w:t>商贸流通龙头企业，建立以县域配送为主体、乡镇周转为补充、村级服务为基础的县乡村三级商贸流通服务网络，推进联采分销、直营加盟、仓储冷链、加工配送、线上线下、上行下行、基地建设等七项服务功能融合发展，逐步形成以龙头企业为带动、县乡村三级网络为依托、七项服务功能为支撑的全</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农村现代商贸流通“一张网”。</w:t>
      </w:r>
      <w:r>
        <w:rPr>
          <w:rFonts w:hint="eastAsia" w:ascii="仿宋_GB2312" w:hAnsi="仿宋_GB2312" w:eastAsia="仿宋_GB2312" w:cs="Times New Roman"/>
          <w:color w:val="000000" w:themeColor="text1"/>
          <w:sz w:val="32"/>
          <w:szCs w:val="32"/>
          <w:highlight w:val="none"/>
          <w14:textFill>
            <w14:solidFill>
              <w14:schemeClr w14:val="tx1"/>
            </w14:solidFill>
          </w14:textFill>
        </w:rPr>
        <w:t>坚持开放办社、联合办社、合作办社方向，发挥自身经营优势，整合优质社会资源，采取市场化运作方式，加快商贸流通业发展，完善县域日用消费品、农资流通服务网络。到2025年，建设县级日用品、农资集配中心各1处，乡镇日用品直营店10处、农资直营店5处</w:t>
      </w:r>
      <w:r>
        <w:rPr>
          <w:rFonts w:ascii="仿宋_GB2312" w:hAnsi="仿宋_GB2312" w:eastAsia="仿宋_GB2312" w:cs="Times New Roman"/>
          <w:color w:val="000000" w:themeColor="text1"/>
          <w:sz w:val="32"/>
          <w:szCs w:val="24"/>
          <w:highlight w:val="none"/>
          <w14:textFill>
            <w14:solidFill>
              <w14:schemeClr w14:val="tx1"/>
            </w14:solidFill>
          </w14:textFill>
        </w:rPr>
        <w:t>，在全</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行政村规范发展村级综合服务社</w:t>
      </w:r>
      <w:r>
        <w:rPr>
          <w:rFonts w:hint="eastAsia" w:ascii="仿宋_GB2312" w:hAnsi="仿宋_GB2312" w:eastAsia="仿宋_GB2312" w:cs="Times New Roman"/>
          <w:color w:val="000000" w:themeColor="text1"/>
          <w:sz w:val="32"/>
          <w:szCs w:val="24"/>
          <w:highlight w:val="none"/>
          <w14:textFill>
            <w14:solidFill>
              <w14:schemeClr w14:val="tx1"/>
            </w14:solidFill>
          </w14:textFill>
        </w:rPr>
        <w:t>50</w:t>
      </w:r>
      <w:r>
        <w:rPr>
          <w:rFonts w:ascii="仿宋_GB2312" w:hAnsi="仿宋_GB2312" w:eastAsia="仿宋_GB2312" w:cs="Times New Roman"/>
          <w:color w:val="000000" w:themeColor="text1"/>
          <w:sz w:val="32"/>
          <w:szCs w:val="24"/>
          <w:highlight w:val="none"/>
          <w14:textFill>
            <w14:solidFill>
              <w14:schemeClr w14:val="tx1"/>
            </w14:solidFill>
          </w14:textFill>
        </w:rPr>
        <w:t>个。</w:t>
      </w:r>
      <w:r>
        <w:rPr>
          <w:rFonts w:hint="eastAsia" w:ascii="仿宋_GB2312" w:hAnsi="仿宋_GB2312" w:eastAsia="楷体_GB2312" w:cs="楷体_GB2312"/>
          <w:color w:val="000000" w:themeColor="text1"/>
          <w:sz w:val="32"/>
          <w:szCs w:val="24"/>
          <w:highlight w:val="none"/>
          <w14:textFill>
            <w14:solidFill>
              <w14:schemeClr w14:val="tx1"/>
            </w14:solidFill>
          </w14:textFill>
        </w:rPr>
        <w:t>（县供销社、县商务局、县财政局分工负责）</w:t>
      </w:r>
    </w:p>
    <w:p>
      <w:pPr>
        <w:pStyle w:val="17"/>
        <w:spacing w:after="0" w:line="600" w:lineRule="exact"/>
        <w:ind w:left="0" w:leftChars="0"/>
        <w:rPr>
          <w:color w:val="000000" w:themeColor="text1"/>
          <w:highlight w:val="none"/>
          <w14:textFill>
            <w14:solidFill>
              <w14:schemeClr w14:val="tx1"/>
            </w14:solidFill>
          </w14:textFill>
        </w:rPr>
      </w:pP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3" w:hRule="atLeast"/>
          <w:jc w:val="center"/>
        </w:trPr>
        <w:tc>
          <w:tcPr>
            <w:tcW w:w="9406" w:type="dxa"/>
          </w:tcPr>
          <w:p>
            <w:pPr>
              <w:spacing w:line="600" w:lineRule="exact"/>
              <w:jc w:val="center"/>
              <w:rPr>
                <w:rFonts w:ascii="方正小标宋简体" w:hAnsi="方正小标宋简体" w:eastAsia="方正小标宋简体" w:cs="方正小标宋简体"/>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28"/>
                <w:szCs w:val="28"/>
                <w:highlight w:val="none"/>
                <w14:textFill>
                  <w14:solidFill>
                    <w14:schemeClr w14:val="tx1"/>
                  </w14:solidFill>
                </w14:textFill>
              </w:rPr>
              <w:t>专栏3 产镇村融合发展重点工程</w:t>
            </w:r>
          </w:p>
          <w:p>
            <w:pPr>
              <w:spacing w:line="600" w:lineRule="exact"/>
              <w:ind w:firstLine="482" w:firstLineChars="200"/>
              <w:rPr>
                <w:rFonts w:ascii="仿宋_GB2312" w:hAnsi="仿宋_GB2312" w:eastAsia="楷体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1.农业新型业态培育工程。</w:t>
            </w:r>
            <w:r>
              <w:rPr>
                <w:rFonts w:ascii="仿宋_GB2312" w:hAnsi="仿宋_GB2312" w:eastAsia="仿宋_GB2312" w:cs="Times New Roman"/>
                <w:color w:val="000000" w:themeColor="text1"/>
                <w:sz w:val="24"/>
                <w:szCs w:val="24"/>
                <w:highlight w:val="none"/>
                <w14:textFill>
                  <w14:solidFill>
                    <w14:schemeClr w14:val="tx1"/>
                  </w14:solidFill>
                </w14:textFill>
              </w:rPr>
              <w:t>发展乡村旅游，坚持农文旅融合发展，推动乡村旅游提档升级。到2025年，实现乡村旅游消费</w:t>
            </w:r>
            <w:r>
              <w:rPr>
                <w:rFonts w:hint="eastAsia" w:ascii="仿宋_GB2312" w:hAnsi="仿宋_GB2312" w:eastAsia="仿宋_GB2312" w:cs="Times New Roman"/>
                <w:color w:val="000000" w:themeColor="text1"/>
                <w:sz w:val="24"/>
                <w:szCs w:val="24"/>
                <w:highlight w:val="none"/>
                <w14:textFill>
                  <w14:solidFill>
                    <w14:schemeClr w14:val="tx1"/>
                  </w14:solidFill>
                </w14:textFill>
              </w:rPr>
              <w:t>5</w:t>
            </w:r>
            <w:r>
              <w:rPr>
                <w:rFonts w:ascii="仿宋_GB2312" w:hAnsi="仿宋_GB2312" w:eastAsia="仿宋_GB2312" w:cs="Times New Roman"/>
                <w:color w:val="000000" w:themeColor="text1"/>
                <w:sz w:val="24"/>
                <w:szCs w:val="24"/>
                <w:highlight w:val="none"/>
                <w14:textFill>
                  <w14:solidFill>
                    <w14:schemeClr w14:val="tx1"/>
                  </w14:solidFill>
                </w14:textFill>
              </w:rPr>
              <w:t>亿元。立足科技进步和模式创新，发展智慧农业、数字农业、农村电商等新产业新业态，到2025年实现农产品网络</w:t>
            </w:r>
            <w:r>
              <w:rPr>
                <w:rFonts w:hint="eastAsia" w:ascii="仿宋_GB2312" w:hAnsi="仿宋_GB2312" w:eastAsia="仿宋_GB2312" w:cs="Times New Roman"/>
                <w:color w:val="000000" w:themeColor="text1"/>
                <w:sz w:val="24"/>
                <w:szCs w:val="24"/>
                <w:highlight w:val="none"/>
                <w14:textFill>
                  <w14:solidFill>
                    <w14:schemeClr w14:val="tx1"/>
                  </w14:solidFill>
                </w14:textFill>
              </w:rPr>
              <w:t>零售额达到3亿元。</w:t>
            </w:r>
            <w:r>
              <w:rPr>
                <w:rFonts w:ascii="仿宋_GB2312" w:hAnsi="仿宋_GB2312" w:eastAsia="仿宋_GB2312" w:cs="Times New Roman"/>
                <w:color w:val="000000" w:themeColor="text1"/>
                <w:sz w:val="24"/>
                <w:szCs w:val="24"/>
                <w:highlight w:val="none"/>
                <w14:textFill>
                  <w14:solidFill>
                    <w14:schemeClr w14:val="tx1"/>
                  </w14:solidFill>
                </w14:textFill>
              </w:rPr>
              <w:t>（县</w:t>
            </w:r>
            <w:r>
              <w:rPr>
                <w:rFonts w:hint="eastAsia" w:ascii="仿宋_GB2312" w:hAnsi="仿宋_GB2312" w:eastAsia="楷体_GB2312" w:cs="楷体_GB2312"/>
                <w:color w:val="000000" w:themeColor="text1"/>
                <w:sz w:val="24"/>
                <w:szCs w:val="24"/>
                <w:highlight w:val="none"/>
                <w14:textFill>
                  <w14:solidFill>
                    <w14:schemeClr w14:val="tx1"/>
                  </w14:solidFill>
                </w14:textFill>
              </w:rPr>
              <w:t>农业农村局、县科技局牵头）</w:t>
            </w:r>
          </w:p>
          <w:p>
            <w:pPr>
              <w:spacing w:line="600" w:lineRule="exact"/>
              <w:ind w:firstLine="482" w:firstLineChars="200"/>
              <w:rPr>
                <w:rFonts w:ascii="仿宋_GB2312" w:hAnsi="仿宋_GB2312" w:eastAsia="楷体_GB2312" w:cs="楷体_GB2312"/>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2.农村电子商务发展工程。</w:t>
            </w:r>
            <w:r>
              <w:rPr>
                <w:rFonts w:ascii="仿宋_GB2312" w:hAnsi="仿宋_GB2312" w:eastAsia="仿宋_GB2312" w:cs="Times New Roman"/>
                <w:color w:val="000000" w:themeColor="text1"/>
                <w:sz w:val="24"/>
                <w:szCs w:val="24"/>
                <w:highlight w:val="none"/>
                <w14:textFill>
                  <w14:solidFill>
                    <w14:schemeClr w14:val="tx1"/>
                  </w14:solidFill>
                </w14:textFill>
              </w:rPr>
              <w:t>引导物流、商贸、金融、供销、邮政等各类电子商务主体到乡村布局，畅通农村网购渠道。指导和支持新型农业经营主体在电商平台上开设网店等，打造一批电商镇、电商村。</w:t>
            </w:r>
            <w:r>
              <w:rPr>
                <w:rFonts w:hint="eastAsia" w:ascii="仿宋_GB2312" w:hAnsi="仿宋_GB2312" w:eastAsia="楷体_GB2312" w:cs="楷体_GB2312"/>
                <w:color w:val="000000" w:themeColor="text1"/>
                <w:sz w:val="24"/>
                <w:szCs w:val="24"/>
                <w:highlight w:val="none"/>
                <w14:textFill>
                  <w14:solidFill>
                    <w14:schemeClr w14:val="tx1"/>
                  </w14:solidFill>
                </w14:textFill>
              </w:rPr>
              <w:t>（县商务局牵头）</w:t>
            </w:r>
          </w:p>
          <w:p>
            <w:pPr>
              <w:spacing w:line="600" w:lineRule="exact"/>
              <w:ind w:firstLine="482" w:firstLineChars="200"/>
              <w:rPr>
                <w:rFonts w:ascii="仿宋_GB2312" w:hAnsi="仿宋_GB2312" w:eastAsia="楷体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3.现代农业园区建设工程。</w:t>
            </w:r>
            <w:r>
              <w:rPr>
                <w:rFonts w:ascii="仿宋_GB2312" w:hAnsi="仿宋_GB2312" w:eastAsia="仿宋_GB2312" w:cs="Times New Roman"/>
                <w:color w:val="000000" w:themeColor="text1"/>
                <w:sz w:val="24"/>
                <w:szCs w:val="24"/>
                <w:highlight w:val="none"/>
                <w14:textFill>
                  <w14:solidFill>
                    <w14:schemeClr w14:val="tx1"/>
                  </w14:solidFill>
                </w14:textFill>
              </w:rPr>
              <w:t>到2025年建成农业产业化联合体10个，争取创建省级以上现代农业产业园1个，建成市级以上农业</w:t>
            </w:r>
            <w:r>
              <w:rPr>
                <w:rFonts w:hint="eastAsia" w:ascii="仿宋_GB2312" w:hAnsi="仿宋_GB2312" w:eastAsia="仿宋_GB2312" w:cs="Times New Roman"/>
                <w:color w:val="000000" w:themeColor="text1"/>
                <w:sz w:val="24"/>
                <w:szCs w:val="24"/>
                <w:highlight w:val="none"/>
                <w14:textFill>
                  <w14:solidFill>
                    <w14:schemeClr w14:val="tx1"/>
                  </w14:solidFill>
                </w14:textFill>
              </w:rPr>
              <w:t>产业</w:t>
            </w:r>
            <w:r>
              <w:rPr>
                <w:rFonts w:ascii="仿宋_GB2312" w:hAnsi="仿宋_GB2312" w:eastAsia="仿宋_GB2312" w:cs="Times New Roman"/>
                <w:color w:val="000000" w:themeColor="text1"/>
                <w:sz w:val="24"/>
                <w:szCs w:val="24"/>
                <w:highlight w:val="none"/>
                <w14:textFill>
                  <w14:solidFill>
                    <w14:schemeClr w14:val="tx1"/>
                  </w14:solidFill>
                </w14:textFill>
              </w:rPr>
              <w:t>园区</w:t>
            </w:r>
            <w:r>
              <w:rPr>
                <w:rFonts w:hint="eastAsia" w:ascii="仿宋_GB2312" w:hAnsi="仿宋_GB2312" w:eastAsia="仿宋_GB2312" w:cs="Times New Roman"/>
                <w:color w:val="000000" w:themeColor="text1"/>
                <w:sz w:val="24"/>
                <w:szCs w:val="24"/>
                <w:highlight w:val="none"/>
                <w14:textFill>
                  <w14:solidFill>
                    <w14:schemeClr w14:val="tx1"/>
                  </w14:solidFill>
                </w14:textFill>
              </w:rPr>
              <w:t>10</w:t>
            </w:r>
            <w:r>
              <w:rPr>
                <w:rFonts w:ascii="仿宋_GB2312" w:hAnsi="仿宋_GB2312" w:eastAsia="仿宋_GB2312" w:cs="Times New Roman"/>
                <w:color w:val="000000" w:themeColor="text1"/>
                <w:sz w:val="24"/>
                <w:szCs w:val="24"/>
                <w:highlight w:val="none"/>
                <w14:textFill>
                  <w14:solidFill>
                    <w14:schemeClr w14:val="tx1"/>
                  </w14:solidFill>
                </w14:textFill>
              </w:rPr>
              <w:t>家</w:t>
            </w:r>
            <w:r>
              <w:rPr>
                <w:rFonts w:hint="eastAsia" w:ascii="仿宋_GB2312" w:hAnsi="仿宋_GB2312" w:eastAsia="仿宋_GB2312" w:cs="Times New Roman"/>
                <w:color w:val="000000" w:themeColor="text1"/>
                <w:sz w:val="24"/>
                <w:szCs w:val="24"/>
                <w:highlight w:val="none"/>
                <w14:textFill>
                  <w14:solidFill>
                    <w14:schemeClr w14:val="tx1"/>
                  </w14:solidFill>
                </w14:textFill>
              </w:rPr>
              <w:t>。</w:t>
            </w:r>
            <w:r>
              <w:rPr>
                <w:rFonts w:hint="eastAsia" w:ascii="仿宋_GB2312" w:hAnsi="仿宋_GB2312" w:eastAsia="楷体_GB2312" w:cs="楷体_GB2312"/>
                <w:color w:val="000000" w:themeColor="text1"/>
                <w:sz w:val="24"/>
                <w:szCs w:val="24"/>
                <w:highlight w:val="none"/>
                <w14:textFill>
                  <w14:solidFill>
                    <w14:schemeClr w14:val="tx1"/>
                  </w14:solidFill>
                </w14:textFill>
              </w:rPr>
              <w:t>（县农业农村局、县科技局牵头）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（四）强化农业科技创新驱动，引领农业农村现代化</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1.推进农业科技创新与转化。</w:t>
      </w:r>
      <w:r>
        <w:rPr>
          <w:rFonts w:ascii="仿宋_GB2312" w:hAnsi="仿宋_GB2312" w:eastAsia="仿宋_GB2312" w:cs="Times New Roman"/>
          <w:color w:val="000000" w:themeColor="text1"/>
          <w:sz w:val="32"/>
          <w:szCs w:val="24"/>
          <w:highlight w:val="none"/>
          <w14:textFill>
            <w14:solidFill>
              <w14:schemeClr w14:val="tx1"/>
            </w14:solidFill>
          </w14:textFill>
        </w:rPr>
        <w:t>强化以省级农业科技园区为引领，以市级农业科技园区为示范，以农科驿站等农技推广平台为纽带，以科技特派员队伍服务为主体的农业科技“四位一体”的创新体系，加快推进现代农业技术研发和成果应用转化，为打造长三角中心城市农产品供应基地、助力乡村振兴提供科技支撑。实施农业科技展翅行动，依托农科院、浙江大学山东（临沂）现代农业研究院等平台，深化产学研融合发展。提升农业科技园区水平，发挥</w:t>
      </w:r>
      <w:r>
        <w:rPr>
          <w:rFonts w:hint="eastAsia" w:ascii="仿宋_GB2312" w:hAnsi="仿宋_GB2312" w:eastAsia="仿宋_GB2312" w:cs="Times New Roman"/>
          <w:color w:val="000000" w:themeColor="text1"/>
          <w:sz w:val="32"/>
          <w:szCs w:val="24"/>
          <w:highlight w:val="none"/>
          <w14:textFill>
            <w14:solidFill>
              <w14:schemeClr w14:val="tx1"/>
            </w14:solidFill>
          </w14:textFill>
        </w:rPr>
        <w:t>我县</w:t>
      </w:r>
      <w:r>
        <w:rPr>
          <w:rFonts w:ascii="仿宋_GB2312" w:hAnsi="仿宋_GB2312" w:eastAsia="仿宋_GB2312" w:cs="Times New Roman"/>
          <w:color w:val="000000" w:themeColor="text1"/>
          <w:sz w:val="32"/>
          <w:szCs w:val="24"/>
          <w:highlight w:val="none"/>
          <w14:textFill>
            <w14:solidFill>
              <w14:schemeClr w14:val="tx1"/>
            </w14:solidFill>
          </w14:textFill>
        </w:rPr>
        <w:t>农业科技园区示范作用，加快农业科技转化，积极推进农业新品种、新技术的转化和推广应用。</w:t>
      </w:r>
      <w:r>
        <w:rPr>
          <w:rFonts w:hint="eastAsia" w:ascii="仿宋_GB2312" w:hAnsi="仿宋_GB2312" w:eastAsia="楷体_GB2312" w:cs="楷体_GB2312"/>
          <w:color w:val="000000" w:themeColor="text1"/>
          <w:sz w:val="32"/>
          <w:szCs w:val="24"/>
          <w:highlight w:val="none"/>
          <w14:textFill>
            <w14:solidFill>
              <w14:schemeClr w14:val="tx1"/>
            </w14:solidFill>
          </w14:textFill>
        </w:rPr>
        <w:t>（县科技局、县农业农村局分工负责）</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2.完善基层农技推广体系。</w:t>
      </w:r>
      <w:r>
        <w:rPr>
          <w:rFonts w:ascii="仿宋_GB2312" w:hAnsi="仿宋_GB2312" w:eastAsia="仿宋_GB2312" w:cs="Times New Roman"/>
          <w:color w:val="000000" w:themeColor="text1"/>
          <w:sz w:val="32"/>
          <w:szCs w:val="24"/>
          <w:highlight w:val="none"/>
          <w14:textFill>
            <w14:solidFill>
              <w14:schemeClr w14:val="tx1"/>
            </w14:solidFill>
          </w14:textFill>
        </w:rPr>
        <w:t>加强农业公共服务机构建设，创新农业社会化服务方式，构建多元化基层农技推广服务体系。加强基层农技人员素质提升，每年培训80名以上基层农技人员。开展基层农技推广人才定向培养，为全县乡镇农技推广机构培养留得住的农业技术推广人才。鼓励农业科技人才参与创办农业科技试验示范基地。开展科技人员下乡活动，到2025年</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力争新注册农业科技特派员50名</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24"/>
          <w:highlight w:val="none"/>
          <w14:textFill>
            <w14:solidFill>
              <w14:schemeClr w14:val="tx1"/>
            </w14:solidFill>
          </w14:textFill>
        </w:rPr>
        <w:t>形成与乡村振兴相适应的农村科技人才队伍组织体系</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（县农业农村局牵头，县科技局等配合）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3.加快推进现代种业发展。</w:t>
      </w:r>
      <w:r>
        <w:rPr>
          <w:rFonts w:ascii="仿宋_GB2312" w:hAnsi="仿宋_GB2312" w:eastAsia="仿宋_GB2312" w:cs="Times New Roman"/>
          <w:color w:val="000000" w:themeColor="text1"/>
          <w:sz w:val="32"/>
          <w:szCs w:val="32"/>
          <w:highlight w:val="none"/>
          <w14:textFill>
            <w14:solidFill>
              <w14:schemeClr w14:val="tx1"/>
            </w14:solidFill>
          </w14:textFill>
        </w:rPr>
        <w:t>积极加强科研平台培育、产学研合作和商业化育种，引进国际优良种质资源、利用现代生物技术，突破生物育种“卡脖子”关键技术，加快培育农作物种业科研成果。在主要农作物方面，重点培育“优质专用、绿色高效、抗逆性强且适宜机械化”的新品种，围绕优质强筋小麦、机收粮饲玉米、优良食味水稻、高油高蛋白大豆等方向力争达到国内先进水平。引导粮食生产向产前种子机械加工处理、产中机械植保、产后粮食烘干贮藏和加工延伸。</w:t>
      </w:r>
      <w:r>
        <w:rPr>
          <w:rFonts w:hint="eastAsia" w:ascii="仿宋_GB2312" w:hAnsi="仿宋_GB2312" w:eastAsia="仿宋_GB2312" w:cs="Times New Roman"/>
          <w:color w:val="000000" w:themeColor="text1"/>
          <w:sz w:val="32"/>
          <w:szCs w:val="32"/>
          <w:highlight w:val="none"/>
          <w14:textFill>
            <w14:solidFill>
              <w14:schemeClr w14:val="tx1"/>
            </w14:solidFill>
          </w14:textFill>
        </w:rPr>
        <w:t>在水产方面，</w:t>
      </w:r>
      <w:r>
        <w:rPr>
          <w:rFonts w:ascii="仿宋_GB2312" w:hAnsi="仿宋_GB2312" w:eastAsia="仿宋_GB2312" w:cs="Times New Roman"/>
          <w:color w:val="000000" w:themeColor="text1"/>
          <w:sz w:val="32"/>
          <w:szCs w:val="32"/>
          <w:highlight w:val="none"/>
          <w14:textFill>
            <w14:solidFill>
              <w14:schemeClr w14:val="tx1"/>
            </w14:solidFill>
          </w14:textFill>
        </w:rPr>
        <w:t>推动种业科技合作内联外合，引导种业科研机构、企业、推广部门加强交流，科研机构主攻基础性研究、企业主攻商业化育种、推广部门主攻品种推广，形成“育繁推”一体化体系。争取到2025年，再育成具有自主知识产权的突破性新品种15个。</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（县农业农村局、县科技局分工负责）</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4.大力发展乡村数字经济。</w:t>
      </w:r>
      <w:r>
        <w:rPr>
          <w:rFonts w:ascii="仿宋_GB2312" w:hAnsi="仿宋_GB2312" w:eastAsia="仿宋_GB2312" w:cs="Times New Roman"/>
          <w:color w:val="000000" w:themeColor="text1"/>
          <w:sz w:val="32"/>
          <w:szCs w:val="24"/>
          <w:highlight w:val="none"/>
          <w14:textFill>
            <w14:solidFill>
              <w14:schemeClr w14:val="tx1"/>
            </w14:solidFill>
          </w14:textFill>
        </w:rPr>
        <w:t>实施智慧农业工程和“互联网+”现代农业行动。推动智慧农业发展，在应用前景广阔的禽畜养殖、水产养殖、设施农业等领域开展农业物联网应用示范工程建设，推广成熟可复制的农业物联网应用模式。到2025年，农业在线化、数据化取得明显进展，管理高效化和服务便捷化基本实现，生产智能化和经营网络化迈上新台阶，农业信息化水平明显提升。</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（县农业农村局牵头，县科技局、县工信局、县财政局、县大数据中心等配合）</w:t>
      </w:r>
    </w:p>
    <w:p>
      <w:pPr>
        <w:pStyle w:val="17"/>
        <w:spacing w:after="0" w:line="600" w:lineRule="exact"/>
        <w:ind w:left="0" w:leftChars="0" w:firstLine="640"/>
        <w:rPr>
          <w:rFonts w:ascii="仿宋_GB2312" w:hAnsi="仿宋_GB2312" w:eastAsia="楷体_GB2312" w:cs="楷体_GB2312"/>
          <w:color w:val="000000" w:themeColor="text1"/>
          <w:sz w:val="32"/>
          <w:szCs w:val="24"/>
          <w:highlight w:val="none"/>
          <w14:textFill>
            <w14:solidFill>
              <w14:schemeClr w14:val="tx1"/>
            </w14:solidFill>
          </w14:textFill>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tcPr>
          <w:p>
            <w:pPr>
              <w:spacing w:line="600" w:lineRule="exact"/>
              <w:jc w:val="center"/>
              <w:rPr>
                <w:rFonts w:ascii="方正小标宋简体" w:hAnsi="方正小标宋简体" w:eastAsia="方正小标宋简体" w:cs="方正小标宋简体"/>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28"/>
                <w:szCs w:val="28"/>
                <w:highlight w:val="none"/>
                <w14:textFill>
                  <w14:solidFill>
                    <w14:schemeClr w14:val="tx1"/>
                  </w14:solidFill>
                </w14:textFill>
              </w:rPr>
              <w:t>专栏4 农业科技创新重点工程</w:t>
            </w:r>
          </w:p>
          <w:p>
            <w:pPr>
              <w:spacing w:line="600" w:lineRule="exact"/>
              <w:ind w:firstLine="482" w:firstLineChars="200"/>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1.农业科技展翅行动。</w:t>
            </w:r>
            <w:r>
              <w:rPr>
                <w:rFonts w:ascii="仿宋_GB2312" w:hAnsi="仿宋_GB2312" w:eastAsia="仿宋_GB2312" w:cs="Times New Roman"/>
                <w:color w:val="000000" w:themeColor="text1"/>
                <w:sz w:val="24"/>
                <w:szCs w:val="24"/>
                <w:highlight w:val="none"/>
                <w14:textFill>
                  <w14:solidFill>
                    <w14:schemeClr w14:val="tx1"/>
                  </w14:solidFill>
                </w14:textFill>
              </w:rPr>
              <w:t>深入实施农业科技创新工程，到2025年农业科技进步贡献率达到65%。深入实施全程全面、高质高效农业机械化示范创建工程，精准农业、智慧农机创新工程。扩大现代化节水灌溉技术应用，到2025年节水灌溉面积达到</w:t>
            </w:r>
            <w:r>
              <w:rPr>
                <w:rFonts w:hint="eastAsia" w:ascii="仿宋_GB2312" w:hAnsi="仿宋_GB2312" w:eastAsia="仿宋_GB2312" w:cs="Times New Roman"/>
                <w:color w:val="000000" w:themeColor="text1"/>
                <w:sz w:val="24"/>
                <w:szCs w:val="24"/>
                <w:highlight w:val="none"/>
                <w14:textFill>
                  <w14:solidFill>
                    <w14:schemeClr w14:val="tx1"/>
                  </w14:solidFill>
                </w14:textFill>
              </w:rPr>
              <w:t>28.56</w:t>
            </w:r>
            <w:r>
              <w:rPr>
                <w:rFonts w:ascii="仿宋_GB2312" w:hAnsi="仿宋_GB2312" w:eastAsia="仿宋_GB2312" w:cs="Times New Roman"/>
                <w:color w:val="000000" w:themeColor="text1"/>
                <w:sz w:val="24"/>
                <w:szCs w:val="24"/>
                <w:highlight w:val="none"/>
                <w14:textFill>
                  <w14:solidFill>
                    <w14:schemeClr w14:val="tx1"/>
                  </w14:solidFill>
                </w14:textFill>
              </w:rPr>
              <w:t>万亩。</w:t>
            </w:r>
            <w:r>
              <w:rPr>
                <w:rFonts w:hint="eastAsia" w:ascii="仿宋_GB2312" w:hAnsi="仿宋_GB2312" w:eastAsia="楷体_GB2312" w:cs="楷体_GB2312"/>
                <w:color w:val="000000" w:themeColor="text1"/>
                <w:sz w:val="24"/>
                <w:szCs w:val="24"/>
                <w:highlight w:val="none"/>
                <w14:textFill>
                  <w14:solidFill>
                    <w14:schemeClr w14:val="tx1"/>
                  </w14:solidFill>
                </w14:textFill>
              </w:rPr>
              <w:t>（县科技局、县农业农村局牵头）</w:t>
            </w:r>
          </w:p>
          <w:p>
            <w:pPr>
              <w:spacing w:line="600" w:lineRule="exact"/>
              <w:ind w:firstLine="482" w:firstLineChars="200"/>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2.高素质农民培育工程。</w:t>
            </w:r>
            <w:r>
              <w:rPr>
                <w:rFonts w:ascii="仿宋_GB2312" w:hAnsi="仿宋_GB2312" w:eastAsia="仿宋_GB2312" w:cs="Times New Roman"/>
                <w:color w:val="000000" w:themeColor="text1"/>
                <w:sz w:val="24"/>
                <w:szCs w:val="24"/>
                <w:highlight w:val="none"/>
                <w14:textFill>
                  <w14:solidFill>
                    <w14:schemeClr w14:val="tx1"/>
                  </w14:solidFill>
                </w14:textFill>
              </w:rPr>
              <w:t>实施高素质农民培育工程，紧密围绕农业稳产增产、农民稳步增收、农村稳定安宁，坚持“需求导向、产业主线、分层实施、全程培育”，加快培养农业农村现代化亟需的高素质农民</w:t>
            </w:r>
            <w:r>
              <w:rPr>
                <w:rFonts w:hint="eastAsia" w:ascii="仿宋_GB2312" w:hAnsi="仿宋_GB2312" w:eastAsia="仿宋_GB2312" w:cs="Times New Roman"/>
                <w:color w:val="000000" w:themeColor="text1"/>
                <w:sz w:val="24"/>
                <w:szCs w:val="24"/>
                <w:highlight w:val="none"/>
                <w14:textFill>
                  <w14:solidFill>
                    <w14:schemeClr w14:val="tx1"/>
                  </w14:solidFill>
                </w14:textFill>
              </w:rPr>
              <w:t>，</w:t>
            </w:r>
            <w:r>
              <w:rPr>
                <w:rFonts w:ascii="仿宋_GB2312" w:hAnsi="仿宋_GB2312" w:eastAsia="仿宋_GB2312" w:cs="Times New Roman"/>
                <w:color w:val="000000" w:themeColor="text1"/>
                <w:sz w:val="24"/>
                <w:szCs w:val="24"/>
                <w:highlight w:val="none"/>
                <w14:textFill>
                  <w14:solidFill>
                    <w14:schemeClr w14:val="tx1"/>
                  </w14:solidFill>
                </w14:textFill>
              </w:rPr>
              <w:t>力争每年培训高素质农民350人，到2025年，全县培训高素质农民</w:t>
            </w:r>
            <w:r>
              <w:rPr>
                <w:rFonts w:hint="eastAsia" w:ascii="仿宋_GB2312" w:hAnsi="仿宋_GB2312" w:eastAsia="仿宋_GB2312" w:cs="Times New Roman"/>
                <w:color w:val="000000" w:themeColor="text1"/>
                <w:sz w:val="24"/>
                <w:szCs w:val="24"/>
                <w:highlight w:val="none"/>
                <w14:textFill>
                  <w14:solidFill>
                    <w14:schemeClr w14:val="tx1"/>
                  </w14:solidFill>
                </w14:textFill>
              </w:rPr>
              <w:t>3500</w:t>
            </w:r>
            <w:r>
              <w:rPr>
                <w:rFonts w:ascii="仿宋_GB2312" w:hAnsi="仿宋_GB2312" w:eastAsia="仿宋_GB2312" w:cs="Times New Roman"/>
                <w:color w:val="000000" w:themeColor="text1"/>
                <w:sz w:val="24"/>
                <w:szCs w:val="24"/>
                <w:highlight w:val="none"/>
                <w14:textFill>
                  <w14:solidFill>
                    <w14:schemeClr w14:val="tx1"/>
                  </w14:solidFill>
                </w14:textFill>
              </w:rPr>
              <w:t>人</w:t>
            </w:r>
            <w:r>
              <w:rPr>
                <w:rFonts w:hint="eastAsia" w:ascii="仿宋_GB2312" w:hAnsi="仿宋_GB2312" w:eastAsia="仿宋_GB2312" w:cs="Times New Roman"/>
                <w:color w:val="000000" w:themeColor="text1"/>
                <w:sz w:val="24"/>
                <w:szCs w:val="24"/>
                <w:highlight w:val="none"/>
                <w14:textFill>
                  <w14:solidFill>
                    <w14:schemeClr w14:val="tx1"/>
                  </w14:solidFill>
                </w14:textFill>
              </w:rPr>
              <w:t>，</w:t>
            </w:r>
            <w:r>
              <w:rPr>
                <w:rFonts w:ascii="仿宋_GB2312" w:hAnsi="仿宋_GB2312" w:eastAsia="仿宋_GB2312" w:cs="Times New Roman"/>
                <w:color w:val="000000" w:themeColor="text1"/>
                <w:sz w:val="24"/>
                <w:szCs w:val="24"/>
                <w:highlight w:val="none"/>
                <w14:textFill>
                  <w14:solidFill>
                    <w14:schemeClr w14:val="tx1"/>
                  </w14:solidFill>
                </w14:textFill>
              </w:rPr>
              <w:t>为全面推进乡村振兴、加快农业农村现代化提供坚实人才保障。</w:t>
            </w:r>
            <w:r>
              <w:rPr>
                <w:rFonts w:hint="eastAsia" w:ascii="仿宋_GB2312" w:hAnsi="仿宋_GB2312" w:eastAsia="楷体_GB2312" w:cs="楷体_GB2312"/>
                <w:color w:val="000000" w:themeColor="text1"/>
                <w:sz w:val="24"/>
                <w:szCs w:val="24"/>
                <w:highlight w:val="none"/>
                <w14:textFill>
                  <w14:solidFill>
                    <w14:schemeClr w14:val="tx1"/>
                  </w14:solidFill>
                </w14:textFill>
              </w:rPr>
              <w:t>（县农业农村局牵头）</w:t>
            </w:r>
          </w:p>
          <w:p>
            <w:pPr>
              <w:pStyle w:val="17"/>
              <w:spacing w:after="0" w:line="600" w:lineRule="exact"/>
              <w:ind w:left="0" w:leftChars="0" w:firstLine="482"/>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4"/>
                <w:highlight w:val="none"/>
                <w14:textFill>
                  <w14:solidFill>
                    <w14:schemeClr w14:val="tx1"/>
                  </w14:solidFill>
                </w14:textFill>
              </w:rPr>
              <w:t>3.现代种业发展工程。</w:t>
            </w:r>
            <w:r>
              <w:rPr>
                <w:rFonts w:ascii="仿宋_GB2312" w:hAnsi="仿宋_GB2312" w:eastAsia="仿宋_GB2312" w:cs="Times New Roman"/>
                <w:color w:val="000000" w:themeColor="text1"/>
                <w:sz w:val="24"/>
                <w:szCs w:val="24"/>
                <w:highlight w:val="none"/>
                <w14:textFill>
                  <w14:solidFill>
                    <w14:schemeClr w14:val="tx1"/>
                  </w14:solidFill>
                </w14:textFill>
              </w:rPr>
              <w:t>依托国家种业优惠财政政策，加快种业产业园建设，建成一个集国家水稻和花生产业技术体系建设、国家水稻区试、山东省水稻和玉米新品种区域试验及生产试验、山东省小麦、大豆、蔬菜区试等为一体的黄淮地区最规范化、标准化的现代种业园区。加快发展畜禽种业，建设畜禽种质资源保护与利用中心</w:t>
            </w:r>
            <w:r>
              <w:rPr>
                <w:rFonts w:hint="eastAsia" w:ascii="仿宋_GB2312" w:hAnsi="仿宋_GB2312" w:eastAsia="仿宋_GB2312" w:cs="Times New Roman"/>
                <w:color w:val="000000" w:themeColor="text1"/>
                <w:sz w:val="24"/>
                <w:szCs w:val="24"/>
                <w:highlight w:val="none"/>
                <w14:textFill>
                  <w14:solidFill>
                    <w14:schemeClr w14:val="tx1"/>
                  </w14:solidFill>
                </w14:textFill>
              </w:rPr>
              <w:t>。</w:t>
            </w:r>
            <w:r>
              <w:rPr>
                <w:rFonts w:ascii="仿宋_GB2312" w:hAnsi="仿宋_GB2312" w:eastAsia="仿宋_GB2312" w:cs="Times New Roman"/>
                <w:color w:val="000000" w:themeColor="text1"/>
                <w:sz w:val="24"/>
                <w:szCs w:val="24"/>
                <w:highlight w:val="none"/>
                <w14:textFill>
                  <w14:solidFill>
                    <w14:schemeClr w14:val="tx1"/>
                  </w14:solidFill>
                </w14:textFill>
              </w:rPr>
              <w:t>到2025年，县级以上种业研发中心达到2个，主要农作物良种覆盖率达到100%，扶持优势种业企业，改善种子基地基础设施和装备条件，提升供种保障能力。建设优质小麦良种繁育基地2.4万亩、优质粳稻良种繁育基地2.2万亩，建立优质强筋小麦新品种示范田5万亩、玉米新品种高产示范田5万亩。推动水产种业振兴，强化水产育种创新和良种繁育推广</w:t>
            </w:r>
            <w:r>
              <w:rPr>
                <w:rFonts w:hint="eastAsia" w:ascii="仿宋_GB2312" w:hAnsi="仿宋_GB2312" w:eastAsia="仿宋_GB2312" w:cs="Times New Roman"/>
                <w:color w:val="000000" w:themeColor="text1"/>
                <w:sz w:val="24"/>
                <w:szCs w:val="24"/>
                <w:highlight w:val="none"/>
                <w14:textFill>
                  <w14:solidFill>
                    <w14:schemeClr w14:val="tx1"/>
                  </w14:solidFill>
                </w14:textFill>
              </w:rPr>
              <w:t>；加大</w:t>
            </w:r>
            <w:r>
              <w:rPr>
                <w:rFonts w:ascii="仿宋_GB2312" w:hAnsi="仿宋_GB2312" w:eastAsia="仿宋_GB2312" w:cs="Times New Roman"/>
                <w:color w:val="000000" w:themeColor="text1"/>
                <w:sz w:val="24"/>
                <w:szCs w:val="24"/>
                <w:highlight w:val="none"/>
                <w14:textFill>
                  <w14:solidFill>
                    <w14:schemeClr w14:val="tx1"/>
                  </w14:solidFill>
                </w14:textFill>
              </w:rPr>
              <w:t>技术推广</w:t>
            </w:r>
            <w:r>
              <w:rPr>
                <w:rFonts w:hint="eastAsia" w:ascii="仿宋_GB2312" w:hAnsi="仿宋_GB2312" w:eastAsia="仿宋_GB2312" w:cs="Times New Roman"/>
                <w:color w:val="000000" w:themeColor="text1"/>
                <w:sz w:val="24"/>
                <w:szCs w:val="24"/>
                <w:highlight w:val="none"/>
                <w14:textFill>
                  <w14:solidFill>
                    <w14:schemeClr w14:val="tx1"/>
                  </w14:solidFill>
                </w14:textFill>
              </w:rPr>
              <w:t>服务力度</w:t>
            </w:r>
            <w:r>
              <w:rPr>
                <w:rFonts w:ascii="仿宋_GB2312" w:hAnsi="仿宋_GB2312" w:eastAsia="仿宋_GB2312" w:cs="Times New Roman"/>
                <w:color w:val="000000" w:themeColor="text1"/>
                <w:sz w:val="24"/>
                <w:szCs w:val="24"/>
                <w:highlight w:val="none"/>
                <w14:textFill>
                  <w14:solidFill>
                    <w14:schemeClr w14:val="tx1"/>
                  </w14:solidFill>
                </w14:textFill>
              </w:rPr>
              <w:t>，加快良种良法产业化开发，优化推广土池生态育苗等技术，提升良种繁育水平</w:t>
            </w:r>
            <w:r>
              <w:rPr>
                <w:rFonts w:hint="eastAsia" w:ascii="仿宋_GB2312" w:hAnsi="仿宋_GB2312" w:eastAsia="仿宋_GB2312" w:cs="Times New Roman"/>
                <w:color w:val="000000" w:themeColor="text1"/>
                <w:sz w:val="24"/>
                <w:szCs w:val="24"/>
                <w:highlight w:val="none"/>
                <w14:textFill>
                  <w14:solidFill>
                    <w14:schemeClr w14:val="tx1"/>
                  </w14:solidFill>
                </w14:textFill>
              </w:rPr>
              <w:t>。</w:t>
            </w:r>
            <w:r>
              <w:rPr>
                <w:rFonts w:hint="eastAsia" w:ascii="仿宋_GB2312" w:hAnsi="仿宋_GB2312" w:eastAsia="楷体_GB2312" w:cs="楷体_GB2312"/>
                <w:color w:val="000000" w:themeColor="text1"/>
                <w:sz w:val="24"/>
                <w:szCs w:val="24"/>
                <w:highlight w:val="none"/>
                <w14:textFill>
                  <w14:solidFill>
                    <w14:schemeClr w14:val="tx1"/>
                  </w14:solidFill>
                </w14:textFill>
              </w:rPr>
              <w:t>（县科技局、县农业农村局牵头）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（五）加强生态环境保护，推进农业绿色发展</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1.深入推进农业投入结构调整。</w:t>
      </w:r>
      <w:r>
        <w:rPr>
          <w:rFonts w:ascii="仿宋_GB2312" w:hAnsi="仿宋_GB2312" w:eastAsia="仿宋_GB2312" w:cs="Times New Roman"/>
          <w:color w:val="000000" w:themeColor="text1"/>
          <w:sz w:val="32"/>
          <w:szCs w:val="32"/>
          <w:highlight w:val="none"/>
          <w14:textFill>
            <w14:solidFill>
              <w14:schemeClr w14:val="tx1"/>
            </w14:solidFill>
          </w14:textFill>
        </w:rPr>
        <w:t>大力推进化肥减量增效行动，依托新型农业经营主体，建设一批水肥一体化技术规模化、标准化示范区</w:t>
      </w:r>
      <w:r>
        <w:rPr>
          <w:rFonts w:hint="eastAsia" w:ascii="仿宋_GB2312" w:hAnsi="仿宋_GB2312" w:eastAsia="仿宋_GB2312" w:cs="Times New Roman"/>
          <w:color w:val="000000" w:themeColor="text1"/>
          <w:sz w:val="32"/>
          <w:szCs w:val="32"/>
          <w:highlight w:val="none"/>
          <w14:textFill>
            <w14:solidFill>
              <w14:schemeClr w14:val="tx1"/>
            </w14:solidFill>
          </w14:textFill>
        </w:rPr>
        <w:t>，大力推广缓控释肥和有机肥</w:t>
      </w:r>
      <w:r>
        <w:rPr>
          <w:rFonts w:ascii="仿宋_GB2312" w:hAnsi="仿宋_GB2312" w:eastAsia="仿宋_GB2312" w:cs="Times New Roman"/>
          <w:color w:val="000000" w:themeColor="text1"/>
          <w:sz w:val="32"/>
          <w:szCs w:val="32"/>
          <w:highlight w:val="none"/>
          <w14:textFill>
            <w14:solidFill>
              <w14:schemeClr w14:val="tx1"/>
            </w14:solidFill>
          </w14:textFill>
        </w:rPr>
        <w:t>。推动测土配方施肥技术推广全覆盖，扩大配方肥应用面积</w:t>
      </w:r>
      <w:r>
        <w:rPr>
          <w:rFonts w:hint="eastAsia" w:ascii="仿宋_GB2312" w:hAnsi="仿宋_GB2312" w:eastAsia="仿宋_GB2312" w:cs="Times New Roman"/>
          <w:color w:val="000000" w:themeColor="text1"/>
          <w:sz w:val="32"/>
          <w:szCs w:val="32"/>
          <w:highlight w:val="none"/>
          <w14:textFill>
            <w14:solidFill>
              <w14:schemeClr w14:val="tx1"/>
            </w14:solidFill>
          </w14:textFill>
        </w:rPr>
        <w:t>，降低化肥使用量，提高肥料利用率</w:t>
      </w:r>
      <w:r>
        <w:rPr>
          <w:rFonts w:ascii="仿宋_GB2312" w:hAnsi="仿宋_GB2312" w:eastAsia="仿宋_GB2312" w:cs="Times New Roman"/>
          <w:color w:val="000000" w:themeColor="text1"/>
          <w:sz w:val="32"/>
          <w:szCs w:val="32"/>
          <w:highlight w:val="none"/>
          <w14:textFill>
            <w14:solidFill>
              <w14:schemeClr w14:val="tx1"/>
            </w14:solidFill>
          </w14:textFill>
        </w:rPr>
        <w:t>。</w:t>
      </w:r>
      <w:r>
        <w:rPr>
          <w:rFonts w:hint="eastAsia" w:ascii="仿宋_GB2312" w:hAnsi="仿宋_GB2312" w:eastAsia="仿宋_GB2312" w:cs="Times New Roman"/>
          <w:color w:val="000000" w:themeColor="text1"/>
          <w:sz w:val="32"/>
          <w:szCs w:val="32"/>
          <w:highlight w:val="none"/>
          <w14:textFill>
            <w14:solidFill>
              <w14:schemeClr w14:val="tx1"/>
            </w14:solidFill>
          </w14:textFill>
        </w:rPr>
        <w:t>到2025年全县新增水肥一体化应用面积4万亩，全县测土配方施肥技术推广覆盖率稳定在90%以上，化肥利用率达到40%，单位耕地面积化肥使用下降率6%。</w:t>
      </w:r>
      <w:r>
        <w:rPr>
          <w:rFonts w:hint="eastAsia" w:ascii="仿宋_GB2312" w:hAnsi="仿宋_GB2312" w:eastAsia="仿宋_GB2312" w:cs="Times New Roman"/>
          <w:bCs/>
          <w:color w:val="000000" w:themeColor="text1"/>
          <w:sz w:val="32"/>
          <w:szCs w:val="32"/>
          <w:highlight w:val="none"/>
          <w14:textFill>
            <w14:solidFill>
              <w14:schemeClr w14:val="tx1"/>
            </w14:solidFill>
          </w14:textFill>
        </w:rPr>
        <w:t>大力</w:t>
      </w:r>
      <w:r>
        <w:rPr>
          <w:rFonts w:ascii="仿宋_GB2312" w:hAnsi="仿宋_GB2312" w:eastAsia="仿宋_GB2312" w:cs="Times New Roman"/>
          <w:color w:val="000000" w:themeColor="text1"/>
          <w:sz w:val="32"/>
          <w:szCs w:val="32"/>
          <w:highlight w:val="none"/>
          <w14:textFill>
            <w14:solidFill>
              <w14:schemeClr w14:val="tx1"/>
            </w14:solidFill>
          </w14:textFill>
        </w:rPr>
        <w:t>推进农药减量增效行动</w:t>
      </w:r>
      <w:r>
        <w:rPr>
          <w:rFonts w:hint="eastAsia" w:ascii="仿宋_GB2312" w:hAnsi="仿宋_GB2312" w:eastAsia="仿宋_GB2312" w:cs="Times New Roman"/>
          <w:color w:val="000000" w:themeColor="text1"/>
          <w:sz w:val="32"/>
          <w:szCs w:val="32"/>
          <w:highlight w:val="none"/>
          <w14:textFill>
            <w14:solidFill>
              <w14:schemeClr w14:val="tx1"/>
            </w14:solidFill>
          </w14:textFill>
        </w:rPr>
        <w:t>，</w:t>
      </w:r>
      <w:r>
        <w:rPr>
          <w:rFonts w:ascii="仿宋_GB2312" w:hAnsi="仿宋_GB2312" w:eastAsia="仿宋_GB2312" w:cs="Times New Roman"/>
          <w:color w:val="000000" w:themeColor="text1"/>
          <w:sz w:val="32"/>
          <w:szCs w:val="32"/>
          <w:highlight w:val="none"/>
          <w14:textFill>
            <w14:solidFill>
              <w14:schemeClr w14:val="tx1"/>
            </w14:solidFill>
          </w14:textFill>
        </w:rPr>
        <w:t>严格执行农药质量标准，推广高效、低毒、低残留农药和物理防控、生物防治技术，提高农业科学用药水平。</w:t>
      </w:r>
      <w:r>
        <w:rPr>
          <w:rFonts w:ascii="仿宋_GB2312" w:hAnsi="仿宋_GB2312" w:eastAsia="仿宋_GB2312" w:cs="Times New Roman"/>
          <w:color w:val="000000" w:themeColor="text1"/>
          <w:sz w:val="32"/>
          <w:szCs w:val="24"/>
          <w:highlight w:val="none"/>
          <w14:textFill>
            <w14:solidFill>
              <w14:schemeClr w14:val="tx1"/>
            </w14:solidFill>
          </w14:textFill>
        </w:rPr>
        <w:t>深化畜禽粪污资源化利用，引导规模养殖场改造升级，加快畜禽养殖异味消除技术设施推广。积极推广农牧结合、种养循环的绿色发展模式，探索区域农业循环利用机制。以农用有机肥还田利用为重点，培育粪肥收运还田社会化服务组织，推动集中收集、专业处理、商品生产，提高优质粪源有机肥商品化生产能力。全面开展秸秆综合利用和农膜、农药包装废弃物回收，加大力度做好农业投入结构调整。</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（县农业农村局、市生态环境局郯城县分局牵头）</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2.推动农产品质量品牌提升。</w:t>
      </w:r>
      <w:r>
        <w:rPr>
          <w:rFonts w:ascii="仿宋_GB2312" w:hAnsi="仿宋_GB2312" w:eastAsia="仿宋_GB2312" w:cs="Times New Roman"/>
          <w:color w:val="000000" w:themeColor="text1"/>
          <w:sz w:val="32"/>
          <w:szCs w:val="24"/>
          <w:highlight w:val="none"/>
          <w14:textFill>
            <w14:solidFill>
              <w14:schemeClr w14:val="tx1"/>
            </w14:solidFill>
          </w14:textFill>
        </w:rPr>
        <w:t>实施农产品安全保障工程，加强产地环境管控，严格农业投入品监管，强化生产全过程管控。大力推进农业标准化生产，增加绿色优质农产品供给，全面试行食用农产品合格证制度。建立健全农产品质量监测认证体系，加强无公害农产品、绿色食品、有机农产品、地理标志农产品认证和管理。到2025年，全县“三品”及地理标志农产品认证达到130个以上。加强与长三角地区开展农产品质量安全互认，推动各类追溯平台互联互通和信息共享，落实农产品合格证代证上市。鼓励本土大型龙头企业通过兼并重组等方式组建大型企业集团，鼓励和引导具备条件的成长型企业上市融资。实施“行业领军企业”培育计划，到2025年，全面提升“郯城大米”区域公用品牌的影响力，培育产值达10亿元农产品加工领军企业2</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ascii="仿宋_GB2312" w:hAnsi="仿宋_GB2312" w:eastAsia="仿宋_GB2312" w:cs="Times New Roman"/>
          <w:color w:val="000000" w:themeColor="text1"/>
          <w:sz w:val="32"/>
          <w:szCs w:val="24"/>
          <w:highlight w:val="none"/>
          <w14:textFill>
            <w14:solidFill>
              <w14:schemeClr w14:val="tx1"/>
            </w14:solidFill>
          </w14:textFill>
        </w:rPr>
        <w:t>3家、力争50亿元企业有突破。</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（县农业农村局牵头，县市场监督管理局、县发改局等分工负责）</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3.强化乡村生态保护修复。</w:t>
      </w:r>
      <w:r>
        <w:rPr>
          <w:rFonts w:ascii="仿宋_GB2312" w:hAnsi="仿宋_GB2312" w:eastAsia="仿宋_GB2312" w:cs="Times New Roman"/>
          <w:color w:val="000000" w:themeColor="text1"/>
          <w:sz w:val="32"/>
          <w:szCs w:val="24"/>
          <w:highlight w:val="none"/>
          <w14:textFill>
            <w14:solidFill>
              <w14:schemeClr w14:val="tx1"/>
            </w14:solidFill>
          </w14:textFill>
        </w:rPr>
        <w:t>深入实施沂蒙山区域山水林田湖草沙生态保护和修复工程，</w:t>
      </w:r>
      <w:r>
        <w:rPr>
          <w:rFonts w:ascii="仿宋_GB2312" w:hAnsi="仿宋_GB2312" w:eastAsia="仿宋_GB2312" w:cs="Times New Roman"/>
          <w:color w:val="000000" w:themeColor="text1"/>
          <w:sz w:val="32"/>
          <w:szCs w:val="32"/>
          <w:highlight w:val="none"/>
          <w14:textFill>
            <w14:solidFill>
              <w14:schemeClr w14:val="tx1"/>
            </w14:solidFill>
          </w14:textFill>
        </w:rPr>
        <w:t>加快推进涝洼地治理和河道综合治理工程，</w:t>
      </w:r>
      <w:r>
        <w:rPr>
          <w:rFonts w:ascii="仿宋_GB2312" w:hAnsi="仿宋_GB2312" w:eastAsia="仿宋_GB2312" w:cs="Times New Roman"/>
          <w:color w:val="000000" w:themeColor="text1"/>
          <w:sz w:val="32"/>
          <w:szCs w:val="24"/>
          <w:highlight w:val="none"/>
          <w14:textFill>
            <w14:solidFill>
              <w14:schemeClr w14:val="tx1"/>
            </w14:solidFill>
          </w14:textFill>
        </w:rPr>
        <w:t>加强农业生态基础设施建设，修复自然生态系统、涵养水源、保持水土、净化水质、保护生物多样性等功能。</w:t>
      </w:r>
      <w:r>
        <w:rPr>
          <w:rFonts w:hint="eastAsia" w:ascii="仿宋_GB2312" w:hAnsi="仿宋_GB2312" w:eastAsia="仿宋_GB2312" w:cs="Times New Roman"/>
          <w:color w:val="000000" w:themeColor="text1"/>
          <w:sz w:val="32"/>
          <w:szCs w:val="24"/>
          <w:highlight w:val="none"/>
          <w14:textFill>
            <w14:solidFill>
              <w14:schemeClr w14:val="tx1"/>
            </w14:solidFill>
          </w14:textFill>
        </w:rPr>
        <w:t>高标准完成白马河上游水系连通及生态修复工程和老墨河水环境综合整治项目。</w:t>
      </w:r>
      <w:r>
        <w:rPr>
          <w:rFonts w:ascii="仿宋_GB2312" w:hAnsi="仿宋_GB2312" w:eastAsia="仿宋_GB2312" w:cs="Times New Roman"/>
          <w:color w:val="000000" w:themeColor="text1"/>
          <w:sz w:val="32"/>
          <w:szCs w:val="24"/>
          <w:highlight w:val="none"/>
          <w14:textFill>
            <w14:solidFill>
              <w14:schemeClr w14:val="tx1"/>
            </w14:solidFill>
          </w14:textFill>
        </w:rPr>
        <w:t>贯彻落实科学绿化，完善林长制体系。推进荒山、荒沟、荒滩整治修复，持续推进采煤塌陷地治理，有序推进美丽幸福河湖建设。</w:t>
      </w:r>
      <w:r>
        <w:rPr>
          <w:rFonts w:ascii="仿宋_GB2312" w:hAnsi="仿宋_GB2312" w:eastAsia="仿宋_GB2312" w:cs="Times New Roman"/>
          <w:color w:val="000000" w:themeColor="text1"/>
          <w:sz w:val="32"/>
          <w:szCs w:val="32"/>
          <w:highlight w:val="none"/>
          <w14:textFill>
            <w14:solidFill>
              <w14:schemeClr w14:val="tx1"/>
            </w14:solidFill>
          </w14:textFill>
        </w:rPr>
        <w:t>深入推进河湖长制各项工作，常态化开展河湖问题排查整治，实现</w:t>
      </w:r>
      <w:r>
        <w:rPr>
          <w:rFonts w:hint="eastAsia" w:ascii="仿宋_GB2312" w:hAnsi="仿宋_GB2312" w:eastAsia="仿宋_GB2312" w:cs="Times New Roman"/>
          <w:color w:val="000000" w:themeColor="text1"/>
          <w:sz w:val="32"/>
          <w:szCs w:val="32"/>
          <w:highlight w:val="none"/>
          <w14:textFill>
            <w14:solidFill>
              <w14:schemeClr w14:val="tx1"/>
            </w14:solidFill>
          </w14:textFill>
        </w:rPr>
        <w:t>问题</w:t>
      </w:r>
      <w:r>
        <w:rPr>
          <w:rFonts w:ascii="仿宋_GB2312" w:hAnsi="仿宋_GB2312" w:eastAsia="仿宋_GB2312" w:cs="Times New Roman"/>
          <w:color w:val="000000" w:themeColor="text1"/>
          <w:sz w:val="32"/>
          <w:szCs w:val="32"/>
          <w:highlight w:val="none"/>
          <w14:textFill>
            <w14:solidFill>
              <w14:schemeClr w14:val="tx1"/>
            </w14:solidFill>
          </w14:textFill>
        </w:rPr>
        <w:t>动态清零，全力打造“水清、岸绿、河畅、景美”，全面提升农村水生态环境。</w:t>
      </w:r>
      <w:r>
        <w:rPr>
          <w:rFonts w:hint="eastAsia" w:ascii="仿宋_GB2312" w:hAnsi="仿宋_GB2312" w:eastAsia="楷体_GB2312" w:cs="楷体_GB2312"/>
          <w:color w:val="000000" w:themeColor="text1"/>
          <w:sz w:val="32"/>
          <w:szCs w:val="24"/>
          <w:highlight w:val="none"/>
          <w14:textFill>
            <w14:solidFill>
              <w14:schemeClr w14:val="tx1"/>
            </w14:solidFill>
          </w14:textFill>
        </w:rPr>
        <w:t>（县自然资源和规划局、县发改局、市生态环境局郯城县分局、县水利局等分工负责）</w:t>
      </w:r>
    </w:p>
    <w:p>
      <w:pPr>
        <w:pStyle w:val="17"/>
        <w:spacing w:after="0" w:line="600" w:lineRule="exact"/>
        <w:ind w:left="0" w:leftChars="0"/>
        <w:rPr>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6" w:type="dxa"/>
          </w:tcPr>
          <w:p>
            <w:pPr>
              <w:spacing w:line="600" w:lineRule="exact"/>
              <w:jc w:val="center"/>
              <w:rPr>
                <w:rFonts w:ascii="方正小标宋简体" w:hAnsi="方正小标宋简体" w:eastAsia="方正小标宋简体" w:cs="方正小标宋简体"/>
                <w:color w:val="000000" w:themeColor="text1"/>
                <w:sz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28"/>
                <w:highlight w:val="none"/>
                <w14:textFill>
                  <w14:solidFill>
                    <w14:schemeClr w14:val="tx1"/>
                  </w14:solidFill>
                </w14:textFill>
              </w:rPr>
              <w:t>专栏5 绿色农业发展重点工程</w:t>
            </w:r>
          </w:p>
          <w:p>
            <w:pPr>
              <w:spacing w:line="600" w:lineRule="exact"/>
              <w:ind w:firstLine="482" w:firstLineChars="200"/>
              <w:rPr>
                <w:rFonts w:ascii="仿宋_GB2312" w:hAnsi="仿宋_GB2312" w:eastAsia="仿宋_GB2312" w:cs="Times New Roman"/>
                <w:b/>
                <w:bCs/>
                <w:color w:val="000000" w:themeColor="text1"/>
                <w:sz w:val="24"/>
                <w:szCs w:val="21"/>
                <w:highlight w:val="none"/>
                <w14:textFill>
                  <w14:solidFill>
                    <w14:schemeClr w14:val="tx1"/>
                  </w14:solidFill>
                </w14:textFill>
              </w:rPr>
            </w:pPr>
            <w:r>
              <w:rPr>
                <w:rFonts w:ascii="仿宋_GB2312" w:hAnsi="仿宋_GB2312" w:eastAsia="仿宋_GB2312" w:cs="Times New Roman"/>
                <w:b/>
                <w:bCs/>
                <w:color w:val="000000" w:themeColor="text1"/>
                <w:sz w:val="24"/>
                <w:szCs w:val="21"/>
                <w:highlight w:val="none"/>
                <w14:textFill>
                  <w14:solidFill>
                    <w14:schemeClr w14:val="tx1"/>
                  </w14:solidFill>
                </w14:textFill>
              </w:rPr>
              <w:t>1.水肥一体化工程。</w:t>
            </w:r>
            <w:r>
              <w:rPr>
                <w:rFonts w:ascii="仿宋_GB2312" w:hAnsi="仿宋_GB2312" w:eastAsia="仿宋_GB2312" w:cs="Times New Roman"/>
                <w:color w:val="000000" w:themeColor="text1"/>
                <w:sz w:val="24"/>
                <w:szCs w:val="21"/>
                <w:highlight w:val="none"/>
                <w14:textFill>
                  <w14:solidFill>
                    <w14:schemeClr w14:val="tx1"/>
                  </w14:solidFill>
                </w14:textFill>
              </w:rPr>
              <w:t>将水肥一体化技术作为现代农业的“一号技术”进行重点推广，提高水肥一体化技术覆盖率、设备应用率，依托新型农业经营主体，建设一批水肥一体化技术规模化、标准化示范区。依据国家相关项目支持规划建设地埋伸缩式智能智能水肥一体化示范基地、大型指针式喷灌水肥一体化示范基地、卷盘式喷灌机示范基地、滴灌式示范基地。到2025年全县新增水肥一体化应用面积4万亩</w:t>
            </w:r>
            <w:r>
              <w:rPr>
                <w:rFonts w:hint="eastAsia" w:ascii="仿宋_GB2312" w:hAnsi="仿宋_GB2312" w:eastAsia="仿宋_GB2312" w:cs="Times New Roman"/>
                <w:color w:val="000000" w:themeColor="text1"/>
                <w:sz w:val="24"/>
                <w:szCs w:val="21"/>
                <w:highlight w:val="none"/>
                <w14:textFill>
                  <w14:solidFill>
                    <w14:schemeClr w14:val="tx1"/>
                  </w14:solidFill>
                </w14:textFill>
              </w:rPr>
              <w:t>。</w:t>
            </w:r>
            <w:r>
              <w:rPr>
                <w:rFonts w:hint="eastAsia" w:ascii="仿宋_GB2312" w:hAnsi="仿宋_GB2312" w:eastAsia="楷体_GB2312" w:cs="楷体_GB2312"/>
                <w:color w:val="000000" w:themeColor="text1"/>
                <w:sz w:val="24"/>
                <w:szCs w:val="21"/>
                <w:highlight w:val="none"/>
                <w14:textFill>
                  <w14:solidFill>
                    <w14:schemeClr w14:val="tx1"/>
                  </w14:solidFill>
                </w14:textFill>
              </w:rPr>
              <w:t>（县农业农村局牵头）</w:t>
            </w:r>
          </w:p>
          <w:p>
            <w:pPr>
              <w:spacing w:line="600" w:lineRule="exact"/>
              <w:ind w:firstLine="482" w:firstLineChars="200"/>
              <w:rPr>
                <w:rFonts w:ascii="仿宋_GB2312" w:hAnsi="仿宋_GB2312" w:eastAsia="仿宋_GB2312" w:cs="Times New Roman"/>
                <w:color w:val="000000" w:themeColor="text1"/>
                <w:sz w:val="24"/>
                <w:szCs w:val="21"/>
                <w:highlight w:val="none"/>
                <w14:textFill>
                  <w14:solidFill>
                    <w14:schemeClr w14:val="tx1"/>
                  </w14:solidFill>
                </w14:textFill>
              </w:rPr>
            </w:pPr>
            <w:r>
              <w:rPr>
                <w:rFonts w:ascii="仿宋_GB2312" w:hAnsi="仿宋_GB2312" w:eastAsia="仿宋_GB2312" w:cs="Times New Roman"/>
                <w:b/>
                <w:bCs/>
                <w:color w:val="000000" w:themeColor="text1"/>
                <w:sz w:val="24"/>
                <w:szCs w:val="21"/>
                <w:highlight w:val="none"/>
                <w14:textFill>
                  <w14:solidFill>
                    <w14:schemeClr w14:val="tx1"/>
                  </w14:solidFill>
                </w14:textFill>
              </w:rPr>
              <w:t>2.农作物秸秆综合利用工程。</w:t>
            </w:r>
            <w:r>
              <w:rPr>
                <w:rFonts w:ascii="仿宋_GB2312" w:hAnsi="仿宋_GB2312" w:eastAsia="仿宋_GB2312" w:cs="Times New Roman"/>
                <w:color w:val="000000" w:themeColor="text1"/>
                <w:sz w:val="24"/>
                <w:szCs w:val="21"/>
                <w:highlight w:val="none"/>
                <w14:textFill>
                  <w14:solidFill>
                    <w14:schemeClr w14:val="tx1"/>
                  </w14:solidFill>
                </w14:textFill>
              </w:rPr>
              <w:t>推广农作物秸秆切碎机械深耕精细化还田、玉米秸秆青储、秸秆捡拾打捆等农机化技术，建立秸秆田间处理、收集、储运体系，加强农作物秸秆基料化、饲料化、肥料化、燃料化、原料化综合利用。到2025年，农作物秸秆综合利用率达到96.5%以上。</w:t>
            </w:r>
            <w:r>
              <w:rPr>
                <w:rFonts w:ascii="仿宋_GB2312" w:hAnsi="仿宋_GB2312" w:eastAsia="楷体_GB2312" w:cs="楷体_GB2312"/>
                <w:color w:val="000000" w:themeColor="text1"/>
                <w:sz w:val="24"/>
                <w:szCs w:val="21"/>
                <w:highlight w:val="none"/>
                <w14:textFill>
                  <w14:solidFill>
                    <w14:schemeClr w14:val="tx1"/>
                  </w14:solidFill>
                </w14:textFill>
              </w:rPr>
              <w:t>（</w:t>
            </w:r>
            <w:r>
              <w:rPr>
                <w:rFonts w:hint="eastAsia" w:ascii="仿宋_GB2312" w:hAnsi="仿宋_GB2312" w:eastAsia="楷体_GB2312" w:cs="楷体_GB2312"/>
                <w:color w:val="000000" w:themeColor="text1"/>
                <w:sz w:val="24"/>
                <w:szCs w:val="21"/>
                <w:highlight w:val="none"/>
                <w14:textFill>
                  <w14:solidFill>
                    <w14:schemeClr w14:val="tx1"/>
                  </w14:solidFill>
                </w14:textFill>
              </w:rPr>
              <w:t>县</w:t>
            </w:r>
            <w:r>
              <w:rPr>
                <w:rFonts w:ascii="仿宋_GB2312" w:hAnsi="仿宋_GB2312" w:eastAsia="楷体_GB2312" w:cs="楷体_GB2312"/>
                <w:color w:val="000000" w:themeColor="text1"/>
                <w:sz w:val="24"/>
                <w:szCs w:val="21"/>
                <w:highlight w:val="none"/>
                <w14:textFill>
                  <w14:solidFill>
                    <w14:schemeClr w14:val="tx1"/>
                  </w14:solidFill>
                </w14:textFill>
              </w:rPr>
              <w:t>农业农村局牵头）</w:t>
            </w:r>
          </w:p>
          <w:p>
            <w:pPr>
              <w:spacing w:line="600" w:lineRule="exact"/>
              <w:ind w:firstLine="482"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24"/>
                <w:szCs w:val="21"/>
                <w:highlight w:val="none"/>
                <w14:textFill>
                  <w14:solidFill>
                    <w14:schemeClr w14:val="tx1"/>
                  </w14:solidFill>
                </w14:textFill>
              </w:rPr>
              <w:t>3.畜禽粪污资源化利用工程。</w:t>
            </w:r>
            <w:r>
              <w:rPr>
                <w:rFonts w:ascii="仿宋_GB2312" w:hAnsi="仿宋_GB2312" w:eastAsia="仿宋_GB2312" w:cs="Times New Roman"/>
                <w:color w:val="000000" w:themeColor="text1"/>
                <w:sz w:val="24"/>
                <w:szCs w:val="21"/>
                <w:highlight w:val="none"/>
                <w14:textFill>
                  <w14:solidFill>
                    <w14:schemeClr w14:val="tx1"/>
                  </w14:solidFill>
                </w14:textFill>
              </w:rPr>
              <w:t>引导规模养殖场改造升级，加快畜禽养殖异味消除技术设施推广，推动智慧化养殖装备应用。指导养殖主体配套建设粪污处理设施，做好物理隔绝，做到防雨防渗防溢流，防止污染环境。大力推进种养结合，鼓励规模养殖场通过流转、合约等方式配套土地，打造种养结合示范基地10处。</w:t>
            </w:r>
            <w:r>
              <w:rPr>
                <w:rFonts w:hint="eastAsia" w:ascii="仿宋_GB2312" w:hAnsi="仿宋_GB2312" w:eastAsia="楷体_GB2312" w:cs="楷体_GB2312"/>
                <w:color w:val="000000" w:themeColor="text1"/>
                <w:sz w:val="24"/>
                <w:szCs w:val="21"/>
                <w:highlight w:val="none"/>
                <w14:textFill>
                  <w14:solidFill>
                    <w14:schemeClr w14:val="tx1"/>
                  </w14:solidFill>
                </w14:textFill>
              </w:rPr>
              <w:t>（县农业农村局牵头）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（六）实施乡村建设行动，提升农村宜居宜业水平</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1.加强乡村基础设施建设。</w:t>
      </w:r>
      <w:r>
        <w:rPr>
          <w:rFonts w:ascii="仿宋_GB2312" w:hAnsi="仿宋_GB2312" w:eastAsia="仿宋_GB2312" w:cs="Times New Roman"/>
          <w:color w:val="000000" w:themeColor="text1"/>
          <w:sz w:val="32"/>
          <w:szCs w:val="24"/>
          <w:highlight w:val="none"/>
          <w14:textFill>
            <w14:solidFill>
              <w14:schemeClr w14:val="tx1"/>
            </w14:solidFill>
          </w14:textFill>
        </w:rPr>
        <w:t>统筹布局道路、供水、供电、农村生活污水治理和垃圾处理等设施，建立健全农村基础设施运行维护机制，落实运行维护费用来源。打造县城至乡镇的县域快速路，构建“2020”农村公路圈，即所有乡镇20分钟到达城区，所有乡镇20分钟上高速。</w:t>
      </w:r>
      <w:r>
        <w:rPr>
          <w:rFonts w:hint="eastAsia" w:ascii="仿宋_GB2312" w:hAnsi="仿宋_GB2312" w:eastAsia="仿宋_GB2312" w:cs="Times New Roman"/>
          <w:color w:val="000000" w:themeColor="text1"/>
          <w:sz w:val="32"/>
          <w:szCs w:val="24"/>
          <w:highlight w:val="none"/>
          <w14:textFill>
            <w14:solidFill>
              <w14:schemeClr w14:val="tx1"/>
            </w14:solidFill>
          </w14:textFill>
        </w:rPr>
        <w:t>推进“四好农村路”提质增效，2022年新建提升道路100公里、改造危桥7座；2023年新改建农村公路60公里、改造危桥6座；2024年新改建农村公路50公里、改造危桥6座；2025年新改建农村公路50公里、改造危桥7座。</w:t>
      </w:r>
      <w:r>
        <w:rPr>
          <w:rFonts w:ascii="仿宋_GB2312" w:hAnsi="仿宋_GB2312" w:eastAsia="仿宋_GB2312" w:cs="Times New Roman"/>
          <w:color w:val="000000" w:themeColor="text1"/>
          <w:sz w:val="32"/>
          <w:szCs w:val="24"/>
          <w:highlight w:val="none"/>
          <w14:textFill>
            <w14:solidFill>
              <w14:schemeClr w14:val="tx1"/>
            </w14:solidFill>
          </w14:textFill>
        </w:rPr>
        <w:t>到2025年100%区域中心村（社区）以及60%以上行政村实现6米及以上公路通达，农村公路优良中等路以上比率达到90%以上，打造沂河观光旅游路、陵山沭水生态路、新白马河堤防道路、银杏特色观光路等4条特色鲜明、带动作用大的融合发展样板路。巩固提升农村饮水安全。依法依规完成农村饮用水水源地保护区划定（范围）和批复工作，加快农村供水保障工程建设，解决饮水安全问题。推进农村电网改造。逐步建成与现代化农业、美丽宜居乡村、农村产业融合相适应的新型农村电网。推动农村千兆光网、第五代移动通信（5G）、移动物联网与城市同步规划建设。</w:t>
      </w:r>
      <w:r>
        <w:rPr>
          <w:rFonts w:hint="eastAsia" w:ascii="仿宋_GB2312" w:hAnsi="仿宋_GB2312" w:eastAsia="楷体_GB2312" w:cs="楷体_GB2312"/>
          <w:color w:val="000000" w:themeColor="text1"/>
          <w:sz w:val="32"/>
          <w:szCs w:val="24"/>
          <w:highlight w:val="none"/>
          <w14:textFill>
            <w14:solidFill>
              <w14:schemeClr w14:val="tx1"/>
            </w14:solidFill>
          </w14:textFill>
        </w:rPr>
        <w:t>（县发改局、县财政局、市生态环境局郯城县分局、县综合行政执法局、县交通运输局、县水利局、县工信局、县供电公司按职责分工负责）</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2.提升农村基本公共服务水平。</w:t>
      </w:r>
      <w:r>
        <w:rPr>
          <w:rFonts w:ascii="仿宋_GB2312" w:hAnsi="仿宋_GB2312" w:eastAsia="仿宋_GB2312" w:cs="Times New Roman"/>
          <w:color w:val="000000" w:themeColor="text1"/>
          <w:sz w:val="32"/>
          <w:szCs w:val="24"/>
          <w:highlight w:val="none"/>
          <w14:textFill>
            <w14:solidFill>
              <w14:schemeClr w14:val="tx1"/>
            </w14:solidFill>
          </w14:textFill>
        </w:rPr>
        <w:t>推动优质教育资源向农村倾斜，发展农村学前教育，推进普惠性幼儿园建设，每个乡镇至少办好1所公办幼儿园</w:t>
      </w:r>
      <w:r>
        <w:rPr>
          <w:rFonts w:hint="eastAsia" w:ascii="仿宋_GB2312" w:hAnsi="仿宋_GB2312" w:eastAsia="仿宋_GB2312" w:cs="Times New Roman"/>
          <w:color w:val="000000" w:themeColor="text1"/>
          <w:sz w:val="32"/>
          <w:szCs w:val="24"/>
          <w:highlight w:val="none"/>
          <w14:textFill>
            <w14:solidFill>
              <w14:schemeClr w14:val="tx1"/>
            </w14:solidFill>
          </w14:textFill>
        </w:rPr>
        <w:t>，确保普惠性幼儿园占比达到85%以上</w:t>
      </w:r>
      <w:r>
        <w:rPr>
          <w:rFonts w:ascii="仿宋_GB2312" w:hAnsi="仿宋_GB2312" w:eastAsia="仿宋_GB2312" w:cs="Times New Roman"/>
          <w:color w:val="000000" w:themeColor="text1"/>
          <w:sz w:val="32"/>
          <w:szCs w:val="24"/>
          <w:highlight w:val="none"/>
          <w14:textFill>
            <w14:solidFill>
              <w14:schemeClr w14:val="tx1"/>
            </w14:solidFill>
          </w14:textFill>
        </w:rPr>
        <w:t>；继续实施特殊教育提升计划；积极发展“互联网+教育”，进一步加快教育信息化建设，继续支持农村中小学信息化基础设施建设，优化数字教育资源公共服务体系；深化县域内教师交流轮岗，引导优秀校长和骨干教师向农村流动；到2025年，新建、改扩建农村学校</w:t>
      </w:r>
      <w:r>
        <w:rPr>
          <w:rFonts w:hint="eastAsia" w:ascii="仿宋_GB2312" w:hAnsi="仿宋_GB2312" w:eastAsia="仿宋_GB2312" w:cs="Times New Roman"/>
          <w:color w:val="000000" w:themeColor="text1"/>
          <w:sz w:val="32"/>
          <w:szCs w:val="24"/>
          <w:highlight w:val="none"/>
          <w14:textFill>
            <w14:solidFill>
              <w14:schemeClr w14:val="tx1"/>
            </w14:solidFill>
          </w14:textFill>
        </w:rPr>
        <w:t>16</w:t>
      </w:r>
      <w:r>
        <w:rPr>
          <w:rFonts w:ascii="仿宋_GB2312" w:hAnsi="仿宋_GB2312" w:eastAsia="仿宋_GB2312" w:cs="Times New Roman"/>
          <w:color w:val="000000" w:themeColor="text1"/>
          <w:sz w:val="32"/>
          <w:szCs w:val="24"/>
          <w:highlight w:val="none"/>
          <w14:textFill>
            <w14:solidFill>
              <w14:schemeClr w14:val="tx1"/>
            </w14:solidFill>
          </w14:textFill>
        </w:rPr>
        <w:t>所，新建、改扩建农村幼儿园</w:t>
      </w:r>
      <w:r>
        <w:rPr>
          <w:rFonts w:hint="eastAsia" w:ascii="仿宋_GB2312" w:hAnsi="仿宋_GB2312" w:eastAsia="仿宋_GB2312" w:cs="Times New Roman"/>
          <w:color w:val="000000" w:themeColor="text1"/>
          <w:sz w:val="32"/>
          <w:szCs w:val="24"/>
          <w:highlight w:val="none"/>
          <w14:textFill>
            <w14:solidFill>
              <w14:schemeClr w14:val="tx1"/>
            </w14:solidFill>
          </w14:textFill>
        </w:rPr>
        <w:t>9</w:t>
      </w:r>
      <w:r>
        <w:rPr>
          <w:rFonts w:ascii="仿宋_GB2312" w:hAnsi="仿宋_GB2312" w:eastAsia="仿宋_GB2312" w:cs="Times New Roman"/>
          <w:color w:val="000000" w:themeColor="text1"/>
          <w:sz w:val="32"/>
          <w:szCs w:val="24"/>
          <w:highlight w:val="none"/>
          <w14:textFill>
            <w14:solidFill>
              <w14:schemeClr w14:val="tx1"/>
            </w14:solidFill>
          </w14:textFill>
        </w:rPr>
        <w:t>处。全面推进健康乡村建设，健全农村三级医疗卫生服务体系，科学规划布局村卫生室；促进优质医疗资源向农村延伸、县级医院与县域内各级各类医疗卫生服务机构互联互通；严格执行国家医疗保障待遇清单制度、政府补助标准，确保我县医疗保险制度在省市政策范围内规范实施。适时提高居民基本养老保险基础养老金最低标准。推进城乡低保制度统筹，逐步提高特困人员供养服务质量。</w:t>
      </w:r>
      <w:r>
        <w:rPr>
          <w:rFonts w:hint="eastAsia" w:ascii="仿宋_GB2312" w:hAnsi="仿宋_GB2312" w:eastAsia="仿宋_GB2312" w:cs="Times New Roman"/>
          <w:color w:val="000000" w:themeColor="text1"/>
          <w:sz w:val="32"/>
          <w:szCs w:val="24"/>
          <w:highlight w:val="none"/>
          <w14:textFill>
            <w14:solidFill>
              <w14:schemeClr w14:val="tx1"/>
            </w14:solidFill>
          </w14:textFill>
        </w:rPr>
        <w:t>发展农村区域性综合养老服务中心，确保乡镇覆盖率达到60%以上。</w:t>
      </w:r>
      <w:r>
        <w:rPr>
          <w:rFonts w:ascii="仿宋_GB2312" w:hAnsi="仿宋_GB2312" w:eastAsia="仿宋_GB2312" w:cs="Times New Roman"/>
          <w:color w:val="000000" w:themeColor="text1"/>
          <w:sz w:val="32"/>
          <w:szCs w:val="24"/>
          <w:highlight w:val="none"/>
          <w14:textFill>
            <w14:solidFill>
              <w14:schemeClr w14:val="tx1"/>
            </w14:solidFill>
          </w14:textFill>
        </w:rPr>
        <w:t>突出社区居家养老，重点推进医养结合，推动农村各类养老服务设施质量提升</w:t>
      </w:r>
      <w:r>
        <w:rPr>
          <w:rFonts w:hint="eastAsia" w:ascii="仿宋_GB2312" w:hAnsi="仿宋_GB2312" w:eastAsia="仿宋_GB2312" w:cs="Times New Roman"/>
          <w:color w:val="000000" w:themeColor="text1"/>
          <w:sz w:val="32"/>
          <w:szCs w:val="24"/>
          <w:highlight w:val="none"/>
          <w14:textFill>
            <w14:solidFill>
              <w14:schemeClr w14:val="tx1"/>
            </w14:solidFill>
          </w14:textFill>
        </w:rPr>
        <w:t>，2022年内完成20</w:t>
      </w:r>
      <w:r>
        <w:rPr>
          <w:rFonts w:hint="eastAsia" w:ascii="仿宋_GB2312" w:hAnsi="仿宋_GB2312" w:eastAsia="仿宋_GB2312" w:cs="Times New Roman"/>
          <w:color w:val="000000" w:themeColor="text1"/>
          <w:sz w:val="32"/>
          <w:szCs w:val="24"/>
          <w:highlight w:val="none"/>
          <w:lang w:val="en-US" w:eastAsia="zh-CN"/>
          <w14:textFill>
            <w14:solidFill>
              <w14:schemeClr w14:val="tx1"/>
            </w14:solidFill>
          </w14:textFill>
        </w:rPr>
        <w:t>处</w:t>
      </w:r>
      <w:r>
        <w:rPr>
          <w:rFonts w:hint="eastAsia" w:ascii="仿宋_GB2312" w:hAnsi="仿宋_GB2312" w:eastAsia="仿宋_GB2312" w:cs="Times New Roman"/>
          <w:color w:val="000000" w:themeColor="text1"/>
          <w:sz w:val="32"/>
          <w:szCs w:val="24"/>
          <w:highlight w:val="none"/>
          <w14:textFill>
            <w14:solidFill>
              <w14:schemeClr w14:val="tx1"/>
            </w14:solidFill>
          </w14:textFill>
        </w:rPr>
        <w:t>小区养老服务设施配建和使用，每年新增5处，到2025年实现全覆盖，重点</w:t>
      </w:r>
      <w:r>
        <w:rPr>
          <w:rFonts w:ascii="仿宋_GB2312" w:hAnsi="仿宋_GB2312" w:eastAsia="仿宋_GB2312" w:cs="Times New Roman"/>
          <w:color w:val="000000" w:themeColor="text1"/>
          <w:sz w:val="32"/>
          <w:szCs w:val="24"/>
          <w:highlight w:val="none"/>
          <w14:textFill>
            <w14:solidFill>
              <w14:schemeClr w14:val="tx1"/>
            </w14:solidFill>
          </w14:textFill>
        </w:rPr>
        <w:t>。鼓励多种方式建设敬老院、幸福院、日间照料中心等养老场所，确保农村养老服务质量大转变、大提升。探索发展农村普惠型养老服务和互助性养老，完善县乡村衔接的三级养老服务网络。</w:t>
      </w:r>
      <w:r>
        <w:rPr>
          <w:rFonts w:hint="eastAsia" w:ascii="仿宋_GB2312" w:hAnsi="仿宋_GB2312" w:eastAsia="仿宋_GB2312" w:cs="Times New Roman"/>
          <w:color w:val="000000" w:themeColor="text1"/>
          <w:sz w:val="32"/>
          <w:szCs w:val="24"/>
          <w:highlight w:val="none"/>
          <w14:textFill>
            <w14:solidFill>
              <w14:schemeClr w14:val="tx1"/>
            </w14:solidFill>
          </w14:textFill>
        </w:rPr>
        <w:t>全面提升精神障碍患者集中监护水平，2022年底启动经济困难老人集中供养试点，2025年实现精神障碍患者集中监护和经济困难老年人集中供养愿进全进。</w:t>
      </w:r>
      <w:r>
        <w:rPr>
          <w:rFonts w:hint="eastAsia" w:ascii="仿宋_GB2312" w:hAnsi="仿宋_GB2312" w:eastAsia="楷体_GB2312" w:cs="楷体_GB2312"/>
          <w:color w:val="000000" w:themeColor="text1"/>
          <w:sz w:val="32"/>
          <w:szCs w:val="24"/>
          <w:highlight w:val="none"/>
          <w14:textFill>
            <w14:solidFill>
              <w14:schemeClr w14:val="tx1"/>
            </w14:solidFill>
          </w14:textFill>
        </w:rPr>
        <w:t>（县教体局、县卫生健康局、县民政局分别牵头，县财政局、县人社局、县医保局、县残联等配合）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3.持续推进农村人居环境整治。</w:t>
      </w:r>
      <w:r>
        <w:rPr>
          <w:rFonts w:ascii="仿宋_GB2312" w:hAnsi="仿宋_GB2312" w:eastAsia="仿宋_GB2312" w:cs="Times New Roman"/>
          <w:color w:val="000000" w:themeColor="text1"/>
          <w:sz w:val="32"/>
          <w:szCs w:val="24"/>
          <w:highlight w:val="none"/>
          <w14:textFill>
            <w14:solidFill>
              <w14:schemeClr w14:val="tx1"/>
            </w14:solidFill>
          </w14:textFill>
        </w:rPr>
        <w:t>深入实施农村人居环境整治提升五年行动，规范提升农村改厕质量，健全完善长效管护体系。按照“户集、村收、镇运、县处理”原则，推进生活垃圾分类处理</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仿宋_GB2312" w:cs="Times New Roman"/>
          <w:color w:val="000000" w:themeColor="text1"/>
          <w:sz w:val="32"/>
          <w:szCs w:val="32"/>
          <w:highlight w:val="none"/>
          <w14:textFill>
            <w14:solidFill>
              <w14:schemeClr w14:val="tx1"/>
            </w14:solidFill>
          </w14:textFill>
        </w:rPr>
        <w:t>到2025年，全县129个试点村居基本形成较完备的垃圾分类投放、收集、运输、处理系统，公共机构及相关企业垃圾分类覆盖率达到100%，市民生活垃圾分类知晓率达到95%以上</w:t>
      </w:r>
      <w:r>
        <w:rPr>
          <w:rFonts w:ascii="仿宋_GB2312" w:hAnsi="仿宋_GB2312" w:eastAsia="仿宋_GB2312" w:cs="Times New Roman"/>
          <w:color w:val="000000" w:themeColor="text1"/>
          <w:sz w:val="32"/>
          <w:szCs w:val="24"/>
          <w:highlight w:val="none"/>
          <w14:textFill>
            <w14:solidFill>
              <w14:schemeClr w14:val="tx1"/>
            </w14:solidFill>
          </w14:textFill>
        </w:rPr>
        <w:t>。开展农村生活污水和黑臭水体治理，因地制宜推广高效实用污水处理技术。持续开展村庄清洁行动，推广沂水县区域能源中心建设经验，将人畜粪便、餐饮废弃物、菜叶等有机质变成能源和资源，建设一批农村有机废弃物资源化利用中心。加快推进美丽乡村示范创建，</w:t>
      </w:r>
      <w:r>
        <w:rPr>
          <w:rFonts w:hint="eastAsia" w:ascii="仿宋_GB2312" w:hAnsi="仿宋_GB2312" w:eastAsia="仿宋_GB2312" w:cs="Times New Roman"/>
          <w:color w:val="000000" w:themeColor="text1"/>
          <w:sz w:val="32"/>
          <w:szCs w:val="24"/>
          <w:highlight w:val="none"/>
          <w14:textFill>
            <w14:solidFill>
              <w14:schemeClr w14:val="tx1"/>
            </w14:solidFill>
          </w14:textFill>
        </w:rPr>
        <w:t>2022年底创建省级美丽乡村4个、市级美丽乡村示范片区1个，2023年底创建4个省级美丽乡村。</w:t>
      </w:r>
      <w:r>
        <w:rPr>
          <w:rFonts w:ascii="仿宋_GB2312" w:hAnsi="仿宋_GB2312" w:eastAsia="仿宋_GB2312" w:cs="Times New Roman"/>
          <w:color w:val="000000" w:themeColor="text1"/>
          <w:sz w:val="32"/>
          <w:szCs w:val="24"/>
          <w:highlight w:val="none"/>
          <w14:textFill>
            <w14:solidFill>
              <w14:schemeClr w14:val="tx1"/>
            </w14:solidFill>
          </w14:textFill>
        </w:rPr>
        <w:t>到2025年，全</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累计创建市级以上美丽乡村</w:t>
      </w:r>
      <w:r>
        <w:rPr>
          <w:rFonts w:hint="eastAsia" w:ascii="仿宋_GB2312" w:hAnsi="仿宋_GB2312" w:eastAsia="仿宋_GB2312" w:cs="Times New Roman"/>
          <w:color w:val="000000" w:themeColor="text1"/>
          <w:sz w:val="32"/>
          <w:szCs w:val="32"/>
          <w:highlight w:val="none"/>
          <w14:textFill>
            <w14:solidFill>
              <w14:schemeClr w14:val="tx1"/>
            </w14:solidFill>
          </w14:textFill>
        </w:rPr>
        <w:t>170</w:t>
      </w:r>
      <w:r>
        <w:rPr>
          <w:rFonts w:ascii="仿宋_GB2312" w:hAnsi="仿宋_GB2312" w:eastAsia="仿宋_GB2312" w:cs="Times New Roman"/>
          <w:color w:val="000000" w:themeColor="text1"/>
          <w:sz w:val="32"/>
          <w:szCs w:val="24"/>
          <w:highlight w:val="none"/>
          <w14:textFill>
            <w14:solidFill>
              <w14:schemeClr w14:val="tx1"/>
            </w14:solidFill>
          </w14:textFill>
        </w:rPr>
        <w:t>个；推动“美在农家”提档升级，每年新创建市级“美在农家”示范村</w:t>
      </w:r>
      <w:r>
        <w:rPr>
          <w:rFonts w:hint="eastAsia" w:ascii="仿宋_GB2312" w:hAnsi="仿宋_GB2312" w:eastAsia="仿宋_GB2312" w:cs="Times New Roman"/>
          <w:color w:val="000000" w:themeColor="text1"/>
          <w:sz w:val="32"/>
          <w:szCs w:val="24"/>
          <w:highlight w:val="none"/>
          <w14:textFill>
            <w14:solidFill>
              <w14:schemeClr w14:val="tx1"/>
            </w14:solidFill>
          </w14:textFill>
        </w:rPr>
        <w:t>7</w:t>
      </w:r>
      <w:r>
        <w:rPr>
          <w:rFonts w:ascii="仿宋_GB2312" w:hAnsi="仿宋_GB2312" w:eastAsia="仿宋_GB2312" w:cs="Times New Roman"/>
          <w:color w:val="000000" w:themeColor="text1"/>
          <w:sz w:val="32"/>
          <w:szCs w:val="24"/>
          <w:highlight w:val="none"/>
          <w14:textFill>
            <w14:solidFill>
              <w14:schemeClr w14:val="tx1"/>
            </w14:solidFill>
          </w14:textFill>
        </w:rPr>
        <w:t>个、五星级示范户</w:t>
      </w:r>
      <w:r>
        <w:rPr>
          <w:rFonts w:hint="eastAsia" w:ascii="仿宋_GB2312" w:hAnsi="仿宋_GB2312" w:eastAsia="仿宋_GB2312" w:cs="Times New Roman"/>
          <w:color w:val="000000" w:themeColor="text1"/>
          <w:sz w:val="32"/>
          <w:szCs w:val="24"/>
          <w:highlight w:val="none"/>
          <w14:textFill>
            <w14:solidFill>
              <w14:schemeClr w14:val="tx1"/>
            </w14:solidFill>
          </w14:textFill>
        </w:rPr>
        <w:t>150</w:t>
      </w:r>
      <w:r>
        <w:rPr>
          <w:rFonts w:ascii="仿宋_GB2312" w:hAnsi="仿宋_GB2312" w:eastAsia="仿宋_GB2312" w:cs="Times New Roman"/>
          <w:color w:val="000000" w:themeColor="text1"/>
          <w:sz w:val="32"/>
          <w:szCs w:val="24"/>
          <w:highlight w:val="none"/>
          <w14:textFill>
            <w14:solidFill>
              <w14:schemeClr w14:val="tx1"/>
            </w14:solidFill>
          </w14:textFill>
        </w:rPr>
        <w:t>户。</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（县委农办、县住建局、县综合行政执法局、市生态环境局郯城县分局、县农业农村局、县妇联按职责分工负责）</w:t>
      </w:r>
    </w:p>
    <w:p>
      <w:pPr>
        <w:pStyle w:val="17"/>
        <w:spacing w:after="0" w:line="600" w:lineRule="exact"/>
        <w:ind w:left="0" w:leftChars="0"/>
        <w:rPr>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tcPr>
          <w:p>
            <w:pPr>
              <w:spacing w:line="600" w:lineRule="exact"/>
              <w:jc w:val="center"/>
              <w:rPr>
                <w:rFonts w:ascii="仿宋_GB2312" w:hAnsi="仿宋_GB2312" w:eastAsia="仿宋_GB2312" w:cs="Times New Roman"/>
                <w:color w:val="000000" w:themeColor="text1"/>
                <w:sz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28"/>
                <w:highlight w:val="none"/>
                <w14:textFill>
                  <w14:solidFill>
                    <w14:schemeClr w14:val="tx1"/>
                  </w14:solidFill>
                </w14:textFill>
              </w:rPr>
              <w:t>专栏6 乡村建设行动重点工程</w:t>
            </w:r>
          </w:p>
          <w:p>
            <w:pPr>
              <w:spacing w:line="600" w:lineRule="exact"/>
              <w:ind w:firstLine="482" w:firstLineChars="200"/>
              <w:jc w:val="left"/>
              <w:rPr>
                <w:rFonts w:ascii="仿宋_GB2312" w:hAnsi="仿宋_GB2312" w:eastAsia="楷体_GB2312" w:cs="楷体_GB2312"/>
                <w:color w:val="000000" w:themeColor="text1"/>
                <w:kern w:val="0"/>
                <w:sz w:val="24"/>
                <w:szCs w:val="24"/>
                <w:highlight w:val="none"/>
                <w:lang w:bidi="ar"/>
                <w14:textFill>
                  <w14:solidFill>
                    <w14:schemeClr w14:val="tx1"/>
                  </w14:solidFill>
                </w14:textFill>
              </w:rPr>
            </w:pPr>
            <w:r>
              <w:rPr>
                <w:rFonts w:hint="eastAsia" w:ascii="仿宋_GB2312" w:hAnsi="仿宋_GB2312" w:eastAsia="仿宋_GB2312" w:cs="Times New Roman"/>
                <w:b/>
                <w:bCs/>
                <w:color w:val="000000" w:themeColor="text1"/>
                <w:sz w:val="24"/>
                <w:szCs w:val="24"/>
                <w:highlight w:val="none"/>
                <w14:textFill>
                  <w14:solidFill>
                    <w14:schemeClr w14:val="tx1"/>
                  </w14:solidFill>
                </w14:textFill>
              </w:rPr>
              <w:t>1.</w:t>
            </w:r>
            <w:r>
              <w:rPr>
                <w:rFonts w:ascii="仿宋_GB2312" w:hAnsi="仿宋_GB2312" w:eastAsia="仿宋_GB2312" w:cs="Times New Roman"/>
                <w:b/>
                <w:bCs/>
                <w:color w:val="000000" w:themeColor="text1"/>
                <w:sz w:val="24"/>
                <w:szCs w:val="24"/>
                <w:highlight w:val="none"/>
                <w14:textFill>
                  <w14:solidFill>
                    <w14:schemeClr w14:val="tx1"/>
                  </w14:solidFill>
                </w14:textFill>
              </w:rPr>
              <w:t>农村供水保障工程。</w:t>
            </w:r>
            <w:r>
              <w:rPr>
                <w:rFonts w:ascii="仿宋_GB2312" w:hAnsi="仿宋_GB2312" w:eastAsia="仿宋_GB2312" w:cs="Times New Roman"/>
                <w:color w:val="000000" w:themeColor="text1"/>
                <w:sz w:val="24"/>
                <w:szCs w:val="24"/>
                <w:highlight w:val="none"/>
                <w14:textFill>
                  <w14:solidFill>
                    <w14:schemeClr w14:val="tx1"/>
                  </w14:solidFill>
                </w14:textFill>
              </w:rPr>
              <w:t>推进农村饮水同网、同源、同质，扩大集中规模化供水覆盖面，保证水质达标与饮水安全，到2025年，农村自来水普及率稳定在9</w:t>
            </w:r>
            <w:r>
              <w:rPr>
                <w:rFonts w:hint="eastAsia" w:ascii="仿宋_GB2312" w:hAnsi="仿宋_GB2312" w:eastAsia="仿宋_GB2312" w:cs="Times New Roman"/>
                <w:color w:val="000000" w:themeColor="text1"/>
                <w:sz w:val="24"/>
                <w:szCs w:val="24"/>
                <w:highlight w:val="none"/>
                <w14:textFill>
                  <w14:solidFill>
                    <w14:schemeClr w14:val="tx1"/>
                  </w14:solidFill>
                </w14:textFill>
              </w:rPr>
              <w:t>9</w:t>
            </w:r>
            <w:r>
              <w:rPr>
                <w:rFonts w:ascii="仿宋_GB2312" w:hAnsi="仿宋_GB2312" w:eastAsia="仿宋_GB2312" w:cs="Times New Roman"/>
                <w:color w:val="000000" w:themeColor="text1"/>
                <w:sz w:val="24"/>
                <w:szCs w:val="24"/>
                <w:highlight w:val="none"/>
                <w14:textFill>
                  <w14:solidFill>
                    <w14:schemeClr w14:val="tx1"/>
                  </w14:solidFill>
                </w14:textFill>
              </w:rPr>
              <w:t>.5%以上。</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w:t>
            </w:r>
            <w:r>
              <w:rPr>
                <w:rFonts w:hint="eastAsia" w:ascii="仿宋_GB2312" w:hAnsi="仿宋_GB2312" w:eastAsia="楷体_GB2312" w:cs="楷体_GB2312"/>
                <w:color w:val="000000" w:themeColor="text1"/>
                <w:kern w:val="0"/>
                <w:sz w:val="24"/>
                <w:szCs w:val="24"/>
                <w:highlight w:val="none"/>
                <w:lang w:bidi="ar"/>
                <w14:textFill>
                  <w14:solidFill>
                    <w14:schemeClr w14:val="tx1"/>
                  </w14:solidFill>
                </w14:textFill>
              </w:rPr>
              <w:t>县</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水利局牵头）</w:t>
            </w:r>
          </w:p>
          <w:p>
            <w:pPr>
              <w:widowControl/>
              <w:spacing w:line="600" w:lineRule="exact"/>
              <w:ind w:firstLine="482" w:firstLineChars="200"/>
              <w:jc w:val="left"/>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kern w:val="0"/>
                <w:sz w:val="24"/>
                <w:szCs w:val="24"/>
                <w:highlight w:val="none"/>
                <w:lang w:bidi="ar"/>
                <w14:textFill>
                  <w14:solidFill>
                    <w14:schemeClr w14:val="tx1"/>
                  </w14:solidFill>
                </w14:textFill>
              </w:rPr>
              <w:t>2.电网改造工程。</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大力实施农村电网改造升级，规划电网投资</w:t>
            </w:r>
            <w:r>
              <w:rPr>
                <w:rFonts w:hint="eastAsia" w:ascii="仿宋_GB2312" w:hAnsi="仿宋_GB2312" w:eastAsia="仿宋_GB2312" w:cs="Times New Roman"/>
                <w:color w:val="000000" w:themeColor="text1"/>
                <w:kern w:val="0"/>
                <w:sz w:val="24"/>
                <w:szCs w:val="24"/>
                <w:highlight w:val="none"/>
                <w:lang w:bidi="ar"/>
                <w14:textFill>
                  <w14:solidFill>
                    <w14:schemeClr w14:val="tx1"/>
                  </w14:solidFill>
                </w14:textFill>
              </w:rPr>
              <w:t>4.45</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亿元。到2025年，新建、改造10千伏线路71条</w:t>
            </w:r>
            <w:r>
              <w:rPr>
                <w:rFonts w:hint="eastAsia" w:ascii="仿宋_GB2312" w:hAnsi="仿宋_GB2312" w:eastAsia="仿宋_GB2312" w:cs="Times New Roman"/>
                <w:color w:val="000000" w:themeColor="text1"/>
                <w:kern w:val="0"/>
                <w:sz w:val="24"/>
                <w:szCs w:val="24"/>
                <w:highlight w:val="none"/>
                <w:lang w:bidi="ar"/>
                <w14:textFill>
                  <w14:solidFill>
                    <w14:schemeClr w14:val="tx1"/>
                  </w14:solidFill>
                </w14:textFill>
              </w:rPr>
              <w:t>、</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573公里，城镇（农村）10千伏联络率达到100%，新增配电变压器1050台，容量406兆伏安，全</w:t>
            </w:r>
            <w:r>
              <w:rPr>
                <w:rFonts w:hint="eastAsia" w:ascii="仿宋_GB2312" w:hAnsi="仿宋_GB2312" w:eastAsia="仿宋_GB2312" w:cs="Times New Roman"/>
                <w:color w:val="000000" w:themeColor="text1"/>
                <w:kern w:val="0"/>
                <w:sz w:val="24"/>
                <w:szCs w:val="24"/>
                <w:highlight w:val="none"/>
                <w:lang w:bidi="ar"/>
                <w14:textFill>
                  <w14:solidFill>
                    <w14:schemeClr w14:val="tx1"/>
                  </w14:solidFill>
                </w14:textFill>
              </w:rPr>
              <w:t>县</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农网供电可靠率预计达到99.954%、综合电压合格率预计达到99.97%、户均配变容量预计提升至</w:t>
            </w:r>
            <w:r>
              <w:rPr>
                <w:rFonts w:hint="eastAsia" w:ascii="仿宋_GB2312" w:hAnsi="仿宋_GB2312" w:eastAsia="仿宋_GB2312" w:cs="Times New Roman"/>
                <w:color w:val="000000" w:themeColor="text1"/>
                <w:kern w:val="0"/>
                <w:sz w:val="24"/>
                <w:szCs w:val="24"/>
                <w:highlight w:val="none"/>
                <w:lang w:bidi="ar"/>
                <w14:textFill>
                  <w14:solidFill>
                    <w14:schemeClr w14:val="tx1"/>
                  </w14:solidFill>
                </w14:textFill>
              </w:rPr>
              <w:t>3.51</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千伏安。</w:t>
            </w:r>
            <w:r>
              <w:rPr>
                <w:rFonts w:hint="eastAsia" w:ascii="仿宋_GB2312" w:hAnsi="仿宋_GB2312" w:eastAsia="楷体_GB2312" w:cs="楷体_GB2312"/>
                <w:color w:val="000000" w:themeColor="text1"/>
                <w:kern w:val="0"/>
                <w:sz w:val="24"/>
                <w:szCs w:val="24"/>
                <w:highlight w:val="none"/>
                <w:lang w:bidi="ar"/>
                <w14:textFill>
                  <w14:solidFill>
                    <w14:schemeClr w14:val="tx1"/>
                  </w14:solidFill>
                </w14:textFill>
              </w:rPr>
              <w:t>（县供电公司牵头）</w:t>
            </w:r>
          </w:p>
          <w:p>
            <w:pPr>
              <w:widowControl/>
              <w:spacing w:line="600" w:lineRule="exact"/>
              <w:ind w:firstLine="482" w:firstLineChars="200"/>
              <w:jc w:val="left"/>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kern w:val="0"/>
                <w:sz w:val="24"/>
                <w:szCs w:val="24"/>
                <w:highlight w:val="none"/>
                <w:lang w:bidi="ar"/>
                <w14:textFill>
                  <w14:solidFill>
                    <w14:schemeClr w14:val="tx1"/>
                  </w14:solidFill>
                </w14:textFill>
              </w:rPr>
              <w:t>3.乡村教育提升工程。</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推进普惠性幼儿园建设，加强幼儿园建设与提升力度。进一步加快教育信息化建设，继续支持农村中小学信息化基础设施建设，优化数字教育资源公共服务体系。到2025年，新建、改扩建农村学校</w:t>
            </w:r>
            <w:r>
              <w:rPr>
                <w:rFonts w:hint="eastAsia" w:ascii="仿宋_GB2312" w:hAnsi="仿宋_GB2312" w:eastAsia="仿宋_GB2312" w:cs="Times New Roman"/>
                <w:color w:val="000000" w:themeColor="text1"/>
                <w:kern w:val="0"/>
                <w:sz w:val="24"/>
                <w:szCs w:val="24"/>
                <w:highlight w:val="none"/>
                <w:lang w:bidi="ar"/>
                <w14:textFill>
                  <w14:solidFill>
                    <w14:schemeClr w14:val="tx1"/>
                  </w14:solidFill>
                </w14:textFill>
              </w:rPr>
              <w:t>16</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所，新建、改扩建农村幼儿园</w:t>
            </w:r>
            <w:r>
              <w:rPr>
                <w:rFonts w:hint="eastAsia" w:ascii="仿宋_GB2312" w:hAnsi="仿宋_GB2312" w:eastAsia="仿宋_GB2312" w:cs="Times New Roman"/>
                <w:color w:val="000000" w:themeColor="text1"/>
                <w:kern w:val="0"/>
                <w:sz w:val="24"/>
                <w:szCs w:val="24"/>
                <w:highlight w:val="none"/>
                <w:lang w:bidi="ar"/>
                <w14:textFill>
                  <w14:solidFill>
                    <w14:schemeClr w14:val="tx1"/>
                  </w14:solidFill>
                </w14:textFill>
              </w:rPr>
              <w:t>9</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处。</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w:t>
            </w:r>
            <w:r>
              <w:rPr>
                <w:rFonts w:hint="eastAsia" w:ascii="仿宋_GB2312" w:hAnsi="仿宋_GB2312" w:eastAsia="楷体_GB2312" w:cs="楷体_GB2312"/>
                <w:color w:val="000000" w:themeColor="text1"/>
                <w:kern w:val="0"/>
                <w:sz w:val="24"/>
                <w:szCs w:val="24"/>
                <w:highlight w:val="none"/>
                <w:lang w:bidi="ar"/>
                <w14:textFill>
                  <w14:solidFill>
                    <w14:schemeClr w14:val="tx1"/>
                  </w14:solidFill>
                </w14:textFill>
              </w:rPr>
              <w:t>县教体局</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牵头）</w:t>
            </w:r>
          </w:p>
          <w:p>
            <w:pPr>
              <w:widowControl/>
              <w:spacing w:line="600" w:lineRule="exact"/>
              <w:ind w:firstLine="482" w:firstLineChars="200"/>
              <w:jc w:val="left"/>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kern w:val="0"/>
                <w:sz w:val="24"/>
                <w:szCs w:val="24"/>
                <w:highlight w:val="none"/>
                <w:lang w:bidi="ar"/>
                <w14:textFill>
                  <w14:solidFill>
                    <w14:schemeClr w14:val="tx1"/>
                  </w14:solidFill>
                </w14:textFill>
              </w:rPr>
              <w:t>4.农村基层医疗卫生服务体系建设工程。</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加强重大疾病防控，深入开展卫生城镇创建，到2025年国家级卫生乡镇实现全覆盖，省级卫生村达到80%以上。</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w:t>
            </w:r>
            <w:r>
              <w:rPr>
                <w:rFonts w:hint="eastAsia" w:ascii="仿宋_GB2312" w:hAnsi="仿宋_GB2312" w:eastAsia="楷体_GB2312" w:cs="楷体_GB2312"/>
                <w:color w:val="000000" w:themeColor="text1"/>
                <w:kern w:val="0"/>
                <w:sz w:val="24"/>
                <w:szCs w:val="24"/>
                <w:highlight w:val="none"/>
                <w:lang w:bidi="ar"/>
                <w14:textFill>
                  <w14:solidFill>
                    <w14:schemeClr w14:val="tx1"/>
                  </w14:solidFill>
                </w14:textFill>
              </w:rPr>
              <w:t>县</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卫生健康</w:t>
            </w:r>
            <w:r>
              <w:rPr>
                <w:rFonts w:hint="eastAsia" w:ascii="仿宋_GB2312" w:hAnsi="仿宋_GB2312" w:eastAsia="楷体_GB2312" w:cs="楷体_GB2312"/>
                <w:color w:val="000000" w:themeColor="text1"/>
                <w:kern w:val="0"/>
                <w:sz w:val="24"/>
                <w:szCs w:val="24"/>
                <w:highlight w:val="none"/>
                <w:lang w:bidi="ar"/>
                <w14:textFill>
                  <w14:solidFill>
                    <w14:schemeClr w14:val="tx1"/>
                  </w14:solidFill>
                </w14:textFill>
              </w:rPr>
              <w:t>局</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牵头）</w:t>
            </w:r>
          </w:p>
          <w:p>
            <w:pPr>
              <w:widowControl/>
              <w:spacing w:line="600" w:lineRule="exact"/>
              <w:ind w:firstLine="482" w:firstLineChars="200"/>
              <w:jc w:val="left"/>
              <w:rPr>
                <w:rFonts w:ascii="仿宋_GB2312" w:hAnsi="仿宋_GB2312" w:eastAsia="仿宋_GB2312" w:cs="Times New Roman"/>
                <w:color w:val="000000" w:themeColor="text1"/>
                <w:sz w:val="24"/>
                <w:szCs w:val="24"/>
                <w:highlight w:val="none"/>
                <w14:textFill>
                  <w14:solidFill>
                    <w14:schemeClr w14:val="tx1"/>
                  </w14:solidFill>
                </w14:textFill>
              </w:rPr>
            </w:pPr>
            <w:r>
              <w:rPr>
                <w:rFonts w:ascii="仿宋_GB2312" w:hAnsi="仿宋_GB2312" w:eastAsia="仿宋_GB2312" w:cs="Times New Roman"/>
                <w:b/>
                <w:bCs/>
                <w:color w:val="000000" w:themeColor="text1"/>
                <w:kern w:val="0"/>
                <w:sz w:val="24"/>
                <w:szCs w:val="24"/>
                <w:highlight w:val="none"/>
                <w:lang w:bidi="ar"/>
                <w14:textFill>
                  <w14:solidFill>
                    <w14:schemeClr w14:val="tx1"/>
                  </w14:solidFill>
                </w14:textFill>
              </w:rPr>
              <w:t>5.农村生活污水治理工程。</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强力推进农村生活污水治理，创新污水治理模式，到2025年完成55%的行政村生活污水治理。</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（市生态环境局</w:t>
            </w:r>
            <w:r>
              <w:rPr>
                <w:rFonts w:hint="eastAsia" w:ascii="仿宋_GB2312" w:hAnsi="仿宋_GB2312" w:eastAsia="楷体_GB2312" w:cs="楷体_GB2312"/>
                <w:color w:val="000000" w:themeColor="text1"/>
                <w:kern w:val="0"/>
                <w:sz w:val="24"/>
                <w:szCs w:val="24"/>
                <w:highlight w:val="none"/>
                <w:lang w:bidi="ar"/>
                <w14:textFill>
                  <w14:solidFill>
                    <w14:schemeClr w14:val="tx1"/>
                  </w14:solidFill>
                </w14:textFill>
              </w:rPr>
              <w:t>郯城县分局</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牵头）</w:t>
            </w:r>
          </w:p>
          <w:p>
            <w:pPr>
              <w:spacing w:line="600" w:lineRule="exact"/>
              <w:ind w:firstLine="482" w:firstLineChars="200"/>
              <w:rPr>
                <w:highlight w:val="none"/>
              </w:rPr>
            </w:pPr>
            <w:r>
              <w:rPr>
                <w:rFonts w:ascii="仿宋_GB2312" w:hAnsi="仿宋_GB2312" w:eastAsia="仿宋_GB2312" w:cs="Times New Roman"/>
                <w:b/>
                <w:bCs/>
                <w:color w:val="000000" w:themeColor="text1"/>
                <w:kern w:val="0"/>
                <w:sz w:val="24"/>
                <w:szCs w:val="24"/>
                <w:highlight w:val="none"/>
                <w:lang w:bidi="ar"/>
                <w14:textFill>
                  <w14:solidFill>
                    <w14:schemeClr w14:val="tx1"/>
                  </w14:solidFill>
                </w14:textFill>
              </w:rPr>
              <w:t>6.农村生活垃圾处理工程。</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结合农村生活垃圾分类的特点，建立健全“户集、村收、镇运、县处理”的农村生活垃圾运输处理体系，到2025年生活垃圾焚烧处理量占无害化处理总量</w:t>
            </w:r>
            <w:r>
              <w:rPr>
                <w:rFonts w:hint="eastAsia" w:ascii="仿宋_GB2312" w:hAnsi="仿宋_GB2312" w:eastAsia="仿宋_GB2312" w:cs="Times New Roman"/>
                <w:color w:val="000000" w:themeColor="text1"/>
                <w:kern w:val="0"/>
                <w:sz w:val="24"/>
                <w:szCs w:val="24"/>
                <w:highlight w:val="none"/>
                <w:lang w:bidi="ar"/>
                <w14:textFill>
                  <w14:solidFill>
                    <w14:schemeClr w14:val="tx1"/>
                  </w14:solidFill>
                </w14:textFill>
              </w:rPr>
              <w:t>达100%</w:t>
            </w:r>
            <w:r>
              <w:rPr>
                <w:rFonts w:ascii="仿宋_GB2312" w:hAnsi="仿宋_GB2312" w:eastAsia="仿宋_GB2312" w:cs="Times New Roman"/>
                <w:color w:val="000000" w:themeColor="text1"/>
                <w:kern w:val="0"/>
                <w:sz w:val="24"/>
                <w:szCs w:val="24"/>
                <w:highlight w:val="none"/>
                <w:lang w:bidi="ar"/>
                <w14:textFill>
                  <w14:solidFill>
                    <w14:schemeClr w14:val="tx1"/>
                  </w14:solidFill>
                </w14:textFill>
              </w:rPr>
              <w:t>，农村生活垃圾无害化处理率达100%。</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w:t>
            </w:r>
            <w:r>
              <w:rPr>
                <w:rFonts w:hint="eastAsia" w:ascii="仿宋_GB2312" w:hAnsi="仿宋_GB2312" w:eastAsia="楷体_GB2312" w:cs="楷体_GB2312"/>
                <w:color w:val="000000" w:themeColor="text1"/>
                <w:kern w:val="0"/>
                <w:sz w:val="24"/>
                <w:szCs w:val="24"/>
                <w:highlight w:val="none"/>
                <w:lang w:bidi="ar"/>
                <w14:textFill>
                  <w14:solidFill>
                    <w14:schemeClr w14:val="tx1"/>
                  </w14:solidFill>
                </w14:textFill>
              </w:rPr>
              <w:t>县综合行政执法局</w:t>
            </w:r>
            <w:r>
              <w:rPr>
                <w:rFonts w:ascii="仿宋_GB2312" w:hAnsi="仿宋_GB2312" w:eastAsia="楷体_GB2312" w:cs="楷体_GB2312"/>
                <w:color w:val="000000" w:themeColor="text1"/>
                <w:kern w:val="0"/>
                <w:sz w:val="24"/>
                <w:szCs w:val="24"/>
                <w:highlight w:val="none"/>
                <w:lang w:bidi="ar"/>
                <w14:textFill>
                  <w14:solidFill>
                    <w14:schemeClr w14:val="tx1"/>
                  </w14:solidFill>
                </w14:textFill>
              </w:rPr>
              <w:t>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（七）加强乡村文化建设，提升乡村文明水平</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1.加强农村思想道德建设。</w:t>
      </w:r>
      <w:r>
        <w:rPr>
          <w:rFonts w:ascii="仿宋_GB2312" w:hAnsi="仿宋_GB2312" w:eastAsia="仿宋_GB2312" w:cs="Times New Roman"/>
          <w:color w:val="000000" w:themeColor="text1"/>
          <w:sz w:val="32"/>
          <w:szCs w:val="24"/>
          <w:highlight w:val="none"/>
          <w14:textFill>
            <w14:solidFill>
              <w14:schemeClr w14:val="tx1"/>
            </w14:solidFill>
          </w14:textFill>
        </w:rPr>
        <w:t>弘扬民族精神和时代精神，加强爱国主义、集体主义、社会主义教育，深化民族团结进步教育，深入开展党史、新中国史、改革开放史、社会主义发展史学习教育。弘扬和践行社会主义核心价值观，加强新时代文明实践中心建设，深入开展理论宣讲、政策宣传、文明活动等文明实践活动。广泛开展星级文明户、文明家庭等群众性精神文明创建活动，以文明村镇创建为抓手，深化文明乡风行动。推动婚事新办、丧事简办。</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（县委宣传部牵头，县民政局等配合）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2.传承乡村优秀传统文化。</w:t>
      </w:r>
      <w:r>
        <w:rPr>
          <w:rFonts w:ascii="仿宋_GB2312" w:hAnsi="仿宋_GB2312" w:eastAsia="仿宋_GB2312" w:cs="Times New Roman"/>
          <w:color w:val="000000" w:themeColor="text1"/>
          <w:sz w:val="32"/>
          <w:szCs w:val="24"/>
          <w:highlight w:val="none"/>
          <w14:textFill>
            <w14:solidFill>
              <w14:schemeClr w14:val="tx1"/>
            </w14:solidFill>
          </w14:textFill>
        </w:rPr>
        <w:t>加快推进孔子及儒家思想研究传播体系建设，深入挖掘整理儒家文化。大力传承红色基因，深入挖掘我</w:t>
      </w:r>
      <w:r>
        <w:rPr>
          <w:rFonts w:hint="eastAsia" w:ascii="仿宋_GB2312" w:hAnsi="仿宋_GB2312" w:eastAsia="仿宋_GB2312" w:cs="Times New Roman"/>
          <w:color w:val="000000" w:themeColor="text1"/>
          <w:sz w:val="32"/>
          <w:szCs w:val="24"/>
          <w:highlight w:val="none"/>
          <w14:textFill>
            <w14:solidFill>
              <w14:schemeClr w14:val="tx1"/>
            </w14:solidFill>
          </w14:textFill>
        </w:rPr>
        <w:t>县</w:t>
      </w:r>
      <w:r>
        <w:rPr>
          <w:rFonts w:ascii="仿宋_GB2312" w:hAnsi="仿宋_GB2312" w:eastAsia="仿宋_GB2312" w:cs="Times New Roman"/>
          <w:color w:val="000000" w:themeColor="text1"/>
          <w:sz w:val="32"/>
          <w:szCs w:val="24"/>
          <w:highlight w:val="none"/>
          <w14:textFill>
            <w14:solidFill>
              <w14:schemeClr w14:val="tx1"/>
            </w14:solidFill>
          </w14:textFill>
        </w:rPr>
        <w:t>丰富的革命历史和文化资源，深化沂蒙精神内涵研究，发掘红色文化资源，加强革命历史文化教育基地建设，打造全国一流的亲情沂蒙红色文化旅游目的地。</w:t>
      </w:r>
      <w:r>
        <w:rPr>
          <w:rFonts w:hint="eastAsia" w:ascii="仿宋_GB2312" w:hAnsi="仿宋_GB2312" w:eastAsia="仿宋_GB2312" w:cs="Times New Roman"/>
          <w:color w:val="000000" w:themeColor="text1"/>
          <w:sz w:val="32"/>
          <w:szCs w:val="24"/>
          <w:highlight w:val="none"/>
          <w14:textFill>
            <w14:solidFill>
              <w14:schemeClr w14:val="tx1"/>
            </w14:solidFill>
          </w14:textFill>
        </w:rPr>
        <w:t>大力弘扬孝文化。开班孝文化讲堂，成立孝文化教育辅导员队伍开展宣讲活动；在镇、村主街道设立孝德文化宣传墙、宣传栏，营造孝文化氛围；挖掘整理鹿乳奉亲等孝道故事和道德模范等孝老爱亲先进事迹，编写孝文化书籍，制作孝文化故事音视频，引导村民学孝德典型、做孝德典型。积极开展孝文化主体实践活动。深入开展“我们的节日”主体活动、孝文化进校园活动、“邻里和睦、守望相助”主题教育活动。积极开展孝老爱亲典型评选活动。常态化开展“好媳妇”“好婆婆”“孝老爱亲好儿女”孝老爱亲典型挖掘、选树工作；深化孝心村创建活动，力争通过三年努力，打造100个孝心村、500个孝心家庭、1000名孝心个人。</w:t>
      </w:r>
      <w:r>
        <w:rPr>
          <w:rFonts w:ascii="仿宋_GB2312" w:hAnsi="仿宋_GB2312" w:eastAsia="仿宋_GB2312" w:cs="Times New Roman"/>
          <w:color w:val="000000" w:themeColor="text1"/>
          <w:sz w:val="32"/>
          <w:szCs w:val="24"/>
          <w:highlight w:val="none"/>
          <w14:textFill>
            <w14:solidFill>
              <w14:schemeClr w14:val="tx1"/>
            </w14:solidFill>
          </w14:textFill>
        </w:rPr>
        <w:t>深入挖掘优秀传统农耕文化蕴含的思想观念、人文精神、道德规范，做好重要农业文化遗产挖掘、保护和传承。推进“乡村记忆”工程，因地制宜建设一批民俗生态博物馆，推动沂蒙民俗文化产业加快发展。</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（县委宣传部、县文化和旅游局牵头，县农业农村局等配合）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3.提升乡村公共文化服务。</w:t>
      </w:r>
      <w:r>
        <w:rPr>
          <w:rFonts w:ascii="仿宋_GB2312" w:hAnsi="仿宋_GB2312" w:eastAsia="仿宋_GB2312" w:cs="Times New Roman"/>
          <w:color w:val="000000" w:themeColor="text1"/>
          <w:sz w:val="32"/>
          <w:szCs w:val="24"/>
          <w:highlight w:val="none"/>
          <w14:textFill>
            <w14:solidFill>
              <w14:schemeClr w14:val="tx1"/>
            </w14:solidFill>
          </w14:textFill>
        </w:rPr>
        <w:t>统筹规划乡村公共文化空间，加强乡村综合性公共文化服务中心建设。开展形式多样的文化体育活动，充分运用文化科技卫生“三下乡”、文化进万家等平台载体，把更多优秀产品送到农民中间。支持“三农”题材文艺创作生产，鼓励文艺工作者不断推出反映农民生产生活的优秀文艺作品。加强乡镇文化站组织管理人员教育培训，培育挖掘乡土文化能人，扶持、壮大文化志愿者和群众文化活动积极分子队伍。优化公共文化服务供给方式，提供“菜单式”“订单式”服务，实施公共文化云项目建设，提高服务效率和水平。</w:t>
      </w:r>
      <w:r>
        <w:rPr>
          <w:rFonts w:hint="eastAsia" w:ascii="仿宋_GB2312" w:hAnsi="仿宋_GB2312" w:eastAsia="楷体_GB2312" w:cs="楷体_GB2312"/>
          <w:color w:val="000000" w:themeColor="text1"/>
          <w:sz w:val="32"/>
          <w:szCs w:val="24"/>
          <w:highlight w:val="none"/>
          <w14:textFill>
            <w14:solidFill>
              <w14:schemeClr w14:val="tx1"/>
            </w14:solidFill>
          </w14:textFill>
        </w:rPr>
        <w:t>（县文化和旅游局、县委宣传部，县体育发展服务中心、县科协、县卫生健康局等配合）</w:t>
      </w:r>
    </w:p>
    <w:p>
      <w:pPr>
        <w:pStyle w:val="17"/>
        <w:spacing w:after="0" w:line="600" w:lineRule="exact"/>
        <w:ind w:left="0" w:leftChars="0"/>
        <w:rPr>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tcPr>
          <w:p>
            <w:pPr>
              <w:spacing w:line="600" w:lineRule="exact"/>
              <w:jc w:val="center"/>
              <w:rPr>
                <w:rFonts w:ascii="方正小标宋简体" w:hAnsi="方正小标宋简体" w:eastAsia="方正小标宋简体" w:cs="方正小标宋简体"/>
                <w:bCs/>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28"/>
                <w:szCs w:val="28"/>
                <w:highlight w:val="none"/>
                <w14:textFill>
                  <w14:solidFill>
                    <w14:schemeClr w14:val="tx1"/>
                  </w14:solidFill>
                </w14:textFill>
              </w:rPr>
              <w:t>专栏7 乡村文化建设重点工程</w:t>
            </w:r>
          </w:p>
          <w:p>
            <w:pPr>
              <w:spacing w:line="600" w:lineRule="exact"/>
              <w:ind w:firstLine="482" w:firstLineChars="200"/>
              <w:rPr>
                <w:rFonts w:ascii="仿宋_GB2312" w:hAnsi="仿宋_GB2312" w:eastAsia="楷体_GB2312" w:cs="楷体_GB2312"/>
                <w:color w:val="000000" w:themeColor="text1"/>
                <w:sz w:val="24"/>
                <w:szCs w:val="21"/>
                <w:highlight w:val="none"/>
                <w14:textFill>
                  <w14:solidFill>
                    <w14:schemeClr w14:val="tx1"/>
                  </w14:solidFill>
                </w14:textFill>
              </w:rPr>
            </w:pPr>
            <w:r>
              <w:rPr>
                <w:rFonts w:hint="eastAsia" w:ascii="仿宋_GB2312" w:hAnsi="仿宋_GB2312" w:eastAsia="仿宋_GB2312" w:cs="Times New Roman"/>
                <w:b/>
                <w:bCs/>
                <w:color w:val="000000" w:themeColor="text1"/>
                <w:sz w:val="24"/>
                <w:szCs w:val="21"/>
                <w:highlight w:val="none"/>
                <w14:textFill>
                  <w14:solidFill>
                    <w14:schemeClr w14:val="tx1"/>
                  </w14:solidFill>
                </w14:textFill>
              </w:rPr>
              <w:t>1、</w:t>
            </w:r>
            <w:r>
              <w:rPr>
                <w:rFonts w:ascii="仿宋_GB2312" w:hAnsi="仿宋_GB2312" w:eastAsia="仿宋_GB2312" w:cs="Times New Roman"/>
                <w:b/>
                <w:bCs/>
                <w:color w:val="000000" w:themeColor="text1"/>
                <w:sz w:val="24"/>
                <w:szCs w:val="21"/>
                <w:highlight w:val="none"/>
                <w14:textFill>
                  <w14:solidFill>
                    <w14:schemeClr w14:val="tx1"/>
                  </w14:solidFill>
                </w14:textFill>
              </w:rPr>
              <w:t>社会主义核心价值观普及工程。</w:t>
            </w:r>
            <w:r>
              <w:rPr>
                <w:rFonts w:ascii="仿宋_GB2312" w:hAnsi="仿宋_GB2312" w:eastAsia="仿宋_GB2312" w:cs="Times New Roman"/>
                <w:color w:val="000000" w:themeColor="text1"/>
                <w:sz w:val="24"/>
                <w:szCs w:val="21"/>
                <w:highlight w:val="none"/>
                <w14:textFill>
                  <w14:solidFill>
                    <w14:schemeClr w14:val="tx1"/>
                  </w14:solidFill>
                </w14:textFill>
              </w:rPr>
              <w:t>采取宣讲小分队、报告会、重大节日纪念活动等形式，深入开展中国特色社会主义理论教育，加强党的历史、党的知识、改革开放成果教育，帮助农民坚定理想信念，促进习近平新时代中国特色社会主义思想的大众化。宣传道德模范、感动人物、平民英雄、文明之星等典型，引导广大农民群众把社会主义核心价值观转化为群体意识和自觉行动。</w:t>
            </w:r>
            <w:r>
              <w:rPr>
                <w:rFonts w:hint="eastAsia" w:ascii="仿宋_GB2312" w:hAnsi="仿宋_GB2312" w:eastAsia="楷体_GB2312" w:cs="楷体_GB2312"/>
                <w:color w:val="000000" w:themeColor="text1"/>
                <w:sz w:val="24"/>
                <w:szCs w:val="21"/>
                <w:highlight w:val="none"/>
                <w14:textFill>
                  <w14:solidFill>
                    <w14:schemeClr w14:val="tx1"/>
                  </w14:solidFill>
                </w14:textFill>
              </w:rPr>
              <w:t>（县委宣传部牵头）</w:t>
            </w:r>
          </w:p>
          <w:p>
            <w:pPr>
              <w:spacing w:line="600" w:lineRule="exact"/>
              <w:ind w:firstLine="482" w:firstLineChars="200"/>
              <w:rPr>
                <w:rFonts w:ascii="仿宋_GB2312" w:hAnsi="仿宋_GB2312" w:eastAsia="仿宋_GB2312" w:cs="Times New Roman"/>
                <w:color w:val="000000" w:themeColor="text1"/>
                <w:sz w:val="24"/>
                <w:szCs w:val="21"/>
                <w:highlight w:val="none"/>
                <w14:textFill>
                  <w14:solidFill>
                    <w14:schemeClr w14:val="tx1"/>
                  </w14:solidFill>
                </w14:textFill>
              </w:rPr>
            </w:pPr>
            <w:r>
              <w:rPr>
                <w:rFonts w:ascii="仿宋_GB2312" w:hAnsi="仿宋_GB2312" w:eastAsia="仿宋_GB2312" w:cs="Times New Roman"/>
                <w:b/>
                <w:bCs/>
                <w:color w:val="000000" w:themeColor="text1"/>
                <w:sz w:val="24"/>
                <w:szCs w:val="21"/>
                <w:highlight w:val="none"/>
                <w14:textFill>
                  <w14:solidFill>
                    <w14:schemeClr w14:val="tx1"/>
                  </w14:solidFill>
                </w14:textFill>
              </w:rPr>
              <w:t>2.乡村公共文化服务提升工程。</w:t>
            </w:r>
            <w:r>
              <w:rPr>
                <w:rFonts w:ascii="仿宋_GB2312" w:hAnsi="仿宋_GB2312" w:eastAsia="仿宋_GB2312" w:cs="Times New Roman"/>
                <w:color w:val="000000" w:themeColor="text1"/>
                <w:sz w:val="24"/>
                <w:szCs w:val="21"/>
                <w:highlight w:val="none"/>
                <w14:textFill>
                  <w14:solidFill>
                    <w14:schemeClr w14:val="tx1"/>
                  </w14:solidFill>
                </w14:textFill>
              </w:rPr>
              <w:t>深入开展文化惠民活动，推进乡村书房建设，提档升级农村文化广场、基层综合性文化服务中心等农村公共文化设施，形成普遍均等、方便快捷的乡村公共文化服务网络。组织引导、整合吸纳各类文化资源向农村聚集，调动农村群众参与文化活动的积极性，使全</w:t>
            </w:r>
            <w:r>
              <w:rPr>
                <w:rFonts w:hint="eastAsia" w:ascii="仿宋_GB2312" w:hAnsi="仿宋_GB2312" w:eastAsia="仿宋_GB2312" w:cs="Times New Roman"/>
                <w:color w:val="000000" w:themeColor="text1"/>
                <w:sz w:val="24"/>
                <w:szCs w:val="21"/>
                <w:highlight w:val="none"/>
                <w14:textFill>
                  <w14:solidFill>
                    <w14:schemeClr w14:val="tx1"/>
                  </w14:solidFill>
                </w14:textFill>
              </w:rPr>
              <w:t>县</w:t>
            </w:r>
            <w:r>
              <w:rPr>
                <w:rFonts w:ascii="仿宋_GB2312" w:hAnsi="仿宋_GB2312" w:eastAsia="仿宋_GB2312" w:cs="Times New Roman"/>
                <w:color w:val="000000" w:themeColor="text1"/>
                <w:sz w:val="24"/>
                <w:szCs w:val="21"/>
                <w:highlight w:val="none"/>
                <w14:textFill>
                  <w14:solidFill>
                    <w14:schemeClr w14:val="tx1"/>
                  </w14:solidFill>
                </w14:textFill>
              </w:rPr>
              <w:t>农村群众就近参与群众文化活动、享受公共文化服务。</w:t>
            </w:r>
            <w:r>
              <w:rPr>
                <w:rFonts w:ascii="仿宋_GB2312" w:hAnsi="仿宋_GB2312" w:eastAsia="楷体_GB2312" w:cs="楷体_GB2312"/>
                <w:color w:val="000000" w:themeColor="text1"/>
                <w:sz w:val="24"/>
                <w:szCs w:val="21"/>
                <w:highlight w:val="none"/>
                <w14:textFill>
                  <w14:solidFill>
                    <w14:schemeClr w14:val="tx1"/>
                  </w14:solidFill>
                </w14:textFill>
              </w:rPr>
              <w:t>（</w:t>
            </w:r>
            <w:r>
              <w:rPr>
                <w:rFonts w:hint="eastAsia" w:ascii="仿宋_GB2312" w:hAnsi="仿宋_GB2312" w:eastAsia="楷体_GB2312" w:cs="楷体_GB2312"/>
                <w:color w:val="000000" w:themeColor="text1"/>
                <w:sz w:val="24"/>
                <w:szCs w:val="21"/>
                <w:highlight w:val="none"/>
                <w14:textFill>
                  <w14:solidFill>
                    <w14:schemeClr w14:val="tx1"/>
                  </w14:solidFill>
                </w14:textFill>
              </w:rPr>
              <w:t>县</w:t>
            </w:r>
            <w:r>
              <w:rPr>
                <w:rFonts w:ascii="仿宋_GB2312" w:hAnsi="仿宋_GB2312" w:eastAsia="楷体_GB2312" w:cs="楷体_GB2312"/>
                <w:color w:val="000000" w:themeColor="text1"/>
                <w:sz w:val="24"/>
                <w:szCs w:val="21"/>
                <w:highlight w:val="none"/>
                <w14:textFill>
                  <w14:solidFill>
                    <w14:schemeClr w14:val="tx1"/>
                  </w14:solidFill>
                </w14:textFill>
              </w:rPr>
              <w:t>文化和旅游局牵头）</w:t>
            </w:r>
          </w:p>
          <w:p>
            <w:pPr>
              <w:pStyle w:val="17"/>
              <w:spacing w:after="0" w:line="600" w:lineRule="exact"/>
              <w:ind w:left="0" w:leftChars="0" w:firstLine="482"/>
              <w:rPr>
                <w:color w:val="000000" w:themeColor="text1"/>
                <w:highlight w:val="none"/>
                <w14:textFill>
                  <w14:solidFill>
                    <w14:schemeClr w14:val="tx1"/>
                  </w14:solidFill>
                </w14:textFill>
              </w:rPr>
            </w:pPr>
            <w:r>
              <w:rPr>
                <w:rFonts w:ascii="仿宋_GB2312" w:hAnsi="仿宋_GB2312" w:eastAsia="仿宋_GB2312" w:cs="Times New Roman"/>
                <w:b/>
                <w:bCs/>
                <w:color w:val="000000" w:themeColor="text1"/>
                <w:sz w:val="24"/>
                <w:szCs w:val="21"/>
                <w:highlight w:val="none"/>
                <w14:textFill>
                  <w14:solidFill>
                    <w14:schemeClr w14:val="tx1"/>
                  </w14:solidFill>
                </w14:textFill>
              </w:rPr>
              <w:t>3.乡村文化产业精品工程。</w:t>
            </w:r>
            <w:r>
              <w:rPr>
                <w:rFonts w:ascii="仿宋_GB2312" w:hAnsi="仿宋_GB2312" w:eastAsia="仿宋_GB2312" w:cs="Times New Roman"/>
                <w:color w:val="000000" w:themeColor="text1"/>
                <w:sz w:val="24"/>
                <w:szCs w:val="21"/>
                <w:highlight w:val="none"/>
                <w14:textFill>
                  <w14:solidFill>
                    <w14:schemeClr w14:val="tx1"/>
                  </w14:solidFill>
                </w14:textFill>
              </w:rPr>
              <w:t>结合“乡村</w:t>
            </w:r>
            <w:r>
              <w:rPr>
                <w:rFonts w:hint="eastAsia" w:ascii="仿宋_GB2312" w:hAnsi="仿宋_GB2312" w:eastAsia="仿宋_GB2312" w:cs="Times New Roman"/>
                <w:color w:val="000000" w:themeColor="text1"/>
                <w:sz w:val="24"/>
                <w:szCs w:val="21"/>
                <w:highlight w:val="none"/>
                <w14:textFill>
                  <w14:solidFill>
                    <w14:schemeClr w14:val="tx1"/>
                  </w14:solidFill>
                </w14:textFill>
              </w:rPr>
              <w:t>振兴</w:t>
            </w:r>
            <w:r>
              <w:rPr>
                <w:rFonts w:ascii="仿宋_GB2312" w:hAnsi="仿宋_GB2312" w:eastAsia="仿宋_GB2312" w:cs="Times New Roman"/>
                <w:color w:val="000000" w:themeColor="text1"/>
                <w:sz w:val="24"/>
                <w:szCs w:val="21"/>
                <w:highlight w:val="none"/>
                <w14:textFill>
                  <w14:solidFill>
                    <w14:schemeClr w14:val="tx1"/>
                  </w14:solidFill>
                </w14:textFill>
              </w:rPr>
              <w:t>”工程，依托郯城优秀非遗项目，发展具有地方特色的文化产业，到2025年，培育</w:t>
            </w:r>
            <w:r>
              <w:rPr>
                <w:rFonts w:hint="eastAsia" w:ascii="仿宋_GB2312" w:hAnsi="仿宋_GB2312" w:eastAsia="仿宋_GB2312" w:cs="Times New Roman"/>
                <w:color w:val="000000" w:themeColor="text1"/>
                <w:sz w:val="24"/>
                <w:szCs w:val="21"/>
                <w:highlight w:val="none"/>
                <w14:textFill>
                  <w14:solidFill>
                    <w14:schemeClr w14:val="tx1"/>
                  </w14:solidFill>
                </w14:textFill>
              </w:rPr>
              <w:t>5</w:t>
            </w:r>
            <w:r>
              <w:rPr>
                <w:rFonts w:ascii="仿宋_GB2312" w:hAnsi="仿宋_GB2312" w:eastAsia="仿宋_GB2312" w:cs="Times New Roman"/>
                <w:color w:val="000000" w:themeColor="text1"/>
                <w:sz w:val="24"/>
                <w:szCs w:val="21"/>
                <w:highlight w:val="none"/>
                <w14:textFill>
                  <w14:solidFill>
                    <w14:schemeClr w14:val="tx1"/>
                  </w14:solidFill>
                </w14:textFill>
              </w:rPr>
              <w:t>个左右特色文化品牌。打造一批画家村、美食村、影视村、艺术村等特色村，推出</w:t>
            </w:r>
            <w:r>
              <w:rPr>
                <w:rFonts w:hint="eastAsia" w:ascii="仿宋_GB2312" w:hAnsi="仿宋_GB2312" w:eastAsia="仿宋_GB2312" w:cs="Times New Roman"/>
                <w:color w:val="000000" w:themeColor="text1"/>
                <w:sz w:val="24"/>
                <w:szCs w:val="21"/>
                <w:highlight w:val="none"/>
                <w14:textFill>
                  <w14:solidFill>
                    <w14:schemeClr w14:val="tx1"/>
                  </w14:solidFill>
                </w14:textFill>
              </w:rPr>
              <w:t>1</w:t>
            </w:r>
            <w:r>
              <w:rPr>
                <w:rFonts w:ascii="仿宋_GB2312" w:hAnsi="仿宋_GB2312" w:eastAsia="仿宋_GB2312" w:cs="Times New Roman"/>
                <w:color w:val="000000" w:themeColor="text1"/>
                <w:sz w:val="24"/>
                <w:szCs w:val="21"/>
                <w:highlight w:val="none"/>
                <w14:textFill>
                  <w14:solidFill>
                    <w14:schemeClr w14:val="tx1"/>
                  </w14:solidFill>
                </w14:textFill>
              </w:rPr>
              <w:t>个具有</w:t>
            </w:r>
            <w:r>
              <w:rPr>
                <w:rFonts w:hint="eastAsia" w:ascii="仿宋_GB2312" w:hAnsi="仿宋_GB2312" w:eastAsia="仿宋_GB2312" w:cs="Times New Roman"/>
                <w:color w:val="000000" w:themeColor="text1"/>
                <w:sz w:val="24"/>
                <w:szCs w:val="21"/>
                <w:highlight w:val="none"/>
                <w14:textFill>
                  <w14:solidFill>
                    <w14:schemeClr w14:val="tx1"/>
                  </w14:solidFill>
                </w14:textFill>
              </w:rPr>
              <w:t>郯城</w:t>
            </w:r>
            <w:r>
              <w:rPr>
                <w:rFonts w:ascii="仿宋_GB2312" w:hAnsi="仿宋_GB2312" w:eastAsia="仿宋_GB2312" w:cs="Times New Roman"/>
                <w:color w:val="000000" w:themeColor="text1"/>
                <w:sz w:val="24"/>
                <w:szCs w:val="21"/>
                <w:highlight w:val="none"/>
                <w14:textFill>
                  <w14:solidFill>
                    <w14:schemeClr w14:val="tx1"/>
                  </w14:solidFill>
                </w14:textFill>
              </w:rPr>
              <w:t>地方特色的精品民俗活动、</w:t>
            </w:r>
            <w:r>
              <w:rPr>
                <w:rFonts w:hint="eastAsia" w:ascii="仿宋_GB2312" w:hAnsi="仿宋_GB2312" w:eastAsia="仿宋_GB2312" w:cs="Times New Roman"/>
                <w:color w:val="000000" w:themeColor="text1"/>
                <w:sz w:val="24"/>
                <w:szCs w:val="21"/>
                <w:highlight w:val="none"/>
                <w14:textFill>
                  <w14:solidFill>
                    <w14:schemeClr w14:val="tx1"/>
                  </w14:solidFill>
                </w14:textFill>
              </w:rPr>
              <w:t>1</w:t>
            </w:r>
            <w:r>
              <w:rPr>
                <w:rFonts w:ascii="仿宋_GB2312" w:hAnsi="仿宋_GB2312" w:eastAsia="仿宋_GB2312" w:cs="Times New Roman"/>
                <w:color w:val="000000" w:themeColor="text1"/>
                <w:sz w:val="24"/>
                <w:szCs w:val="21"/>
                <w:highlight w:val="none"/>
                <w14:textFill>
                  <w14:solidFill>
                    <w14:schemeClr w14:val="tx1"/>
                  </w14:solidFill>
                </w14:textFill>
              </w:rPr>
              <w:t>个精品农事活动。结合“红色文化”工程，打造一批乡村红色文化旅游基地，推出</w:t>
            </w:r>
            <w:r>
              <w:rPr>
                <w:rFonts w:hint="eastAsia" w:ascii="仿宋_GB2312" w:hAnsi="仿宋_GB2312" w:eastAsia="仿宋_GB2312" w:cs="Times New Roman"/>
                <w:color w:val="000000" w:themeColor="text1"/>
                <w:sz w:val="24"/>
                <w:szCs w:val="21"/>
                <w:highlight w:val="none"/>
                <w14:textFill>
                  <w14:solidFill>
                    <w14:schemeClr w14:val="tx1"/>
                  </w14:solidFill>
                </w14:textFill>
              </w:rPr>
              <w:t>1</w:t>
            </w:r>
            <w:r>
              <w:rPr>
                <w:rFonts w:hint="eastAsia" w:ascii="仿宋_GB2312" w:hAnsi="仿宋_GB2312" w:eastAsia="仿宋_GB2312" w:cs="Times New Roman"/>
                <w:color w:val="000000" w:themeColor="text1"/>
                <w:sz w:val="24"/>
                <w:szCs w:val="21"/>
                <w:highlight w:val="none"/>
                <w:lang w:val="en-US" w:eastAsia="zh-CN"/>
                <w14:textFill>
                  <w14:solidFill>
                    <w14:schemeClr w14:val="tx1"/>
                  </w14:solidFill>
                </w14:textFill>
              </w:rPr>
              <w:t>条</w:t>
            </w:r>
            <w:r>
              <w:rPr>
                <w:rFonts w:ascii="仿宋_GB2312" w:hAnsi="仿宋_GB2312" w:eastAsia="仿宋_GB2312" w:cs="Times New Roman"/>
                <w:color w:val="000000" w:themeColor="text1"/>
                <w:sz w:val="24"/>
                <w:szCs w:val="21"/>
                <w:highlight w:val="none"/>
                <w14:textFill>
                  <w14:solidFill>
                    <w14:schemeClr w14:val="tx1"/>
                  </w14:solidFill>
                </w14:textFill>
              </w:rPr>
              <w:t>红色旅游精品线路。</w:t>
            </w:r>
            <w:r>
              <w:rPr>
                <w:rFonts w:hint="eastAsia" w:ascii="仿宋_GB2312" w:hAnsi="仿宋_GB2312" w:eastAsia="楷体_GB2312" w:cs="楷体_GB2312"/>
                <w:color w:val="000000" w:themeColor="text1"/>
                <w:sz w:val="24"/>
                <w:szCs w:val="21"/>
                <w:highlight w:val="none"/>
                <w14:textFill>
                  <w14:solidFill>
                    <w14:schemeClr w14:val="tx1"/>
                  </w14:solidFill>
                </w14:textFill>
              </w:rPr>
              <w:t>（县文化和旅游局牵头）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（八）健全现代乡村治理体系，提升乡村善治水平</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1.健全完善农村基层组织。</w:t>
      </w:r>
      <w:r>
        <w:rPr>
          <w:rFonts w:ascii="仿宋_GB2312" w:hAnsi="仿宋_GB2312" w:eastAsia="仿宋_GB2312" w:cs="Times New Roman"/>
          <w:color w:val="000000" w:themeColor="text1"/>
          <w:sz w:val="32"/>
          <w:szCs w:val="24"/>
          <w:highlight w:val="none"/>
          <w14:textFill>
            <w14:solidFill>
              <w14:schemeClr w14:val="tx1"/>
            </w14:solidFill>
          </w14:textFill>
        </w:rPr>
        <w:t>聚焦组织体系建设和组织能力提升，健全完善党员作用发挥长效机制，选优配强村“两委”班子，调整充实驻村工作队，实现脱贫村、乡村振兴任务重的村、党组织软弱涣散村选派第一书记全覆盖。持续推进农村干部全周期专业化管理，将党建工作融入乡村振兴工作中。推动村党组织书记通过法定程序担任村民委员会主任、集体经济组织主要负责人，推动党组织班子成员、党员担任村务监督委员会、集体经济组织负责人。健全完善村干部经济责任审计制度，规范村级事务运行。健全乡村治理体系，开展乡村治理体系建设试点和乡村治理示范村镇创建，每年培育市级乡村治理示范镇</w:t>
      </w:r>
      <w:r>
        <w:rPr>
          <w:rFonts w:hint="eastAsia" w:ascii="仿宋_GB2312" w:hAnsi="仿宋_GB2312" w:eastAsia="仿宋_GB2312" w:cs="Times New Roman"/>
          <w:color w:val="000000" w:themeColor="text1"/>
          <w:sz w:val="32"/>
          <w:szCs w:val="32"/>
          <w:highlight w:val="none"/>
          <w14:textFill>
            <w14:solidFill>
              <w14:schemeClr w14:val="tx1"/>
            </w14:solidFill>
          </w14:textFill>
        </w:rPr>
        <w:t>3</w:t>
      </w:r>
      <w:r>
        <w:rPr>
          <w:rFonts w:ascii="仿宋_GB2312" w:hAnsi="仿宋_GB2312" w:eastAsia="仿宋_GB2312" w:cs="Times New Roman"/>
          <w:color w:val="000000" w:themeColor="text1"/>
          <w:sz w:val="32"/>
          <w:szCs w:val="24"/>
          <w:highlight w:val="none"/>
          <w14:textFill>
            <w14:solidFill>
              <w14:schemeClr w14:val="tx1"/>
            </w14:solidFill>
          </w14:textFill>
        </w:rPr>
        <w:t>个、示范村</w:t>
      </w:r>
      <w:r>
        <w:rPr>
          <w:rFonts w:hint="eastAsia" w:ascii="仿宋_GB2312" w:hAnsi="仿宋_GB2312" w:eastAsia="仿宋_GB2312" w:cs="Times New Roman"/>
          <w:color w:val="000000" w:themeColor="text1"/>
          <w:sz w:val="32"/>
          <w:szCs w:val="32"/>
          <w:highlight w:val="none"/>
          <w14:textFill>
            <w14:solidFill>
              <w14:schemeClr w14:val="tx1"/>
            </w14:solidFill>
          </w14:textFill>
        </w:rPr>
        <w:t>8</w:t>
      </w:r>
      <w:r>
        <w:rPr>
          <w:rFonts w:ascii="仿宋_GB2312" w:hAnsi="仿宋_GB2312" w:eastAsia="仿宋_GB2312" w:cs="Times New Roman"/>
          <w:color w:val="000000" w:themeColor="text1"/>
          <w:sz w:val="32"/>
          <w:szCs w:val="24"/>
          <w:highlight w:val="none"/>
          <w14:textFill>
            <w14:solidFill>
              <w14:schemeClr w14:val="tx1"/>
            </w14:solidFill>
          </w14:textFill>
        </w:rPr>
        <w:t>个。</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（县委组织部、县民政局、县审计局、县农业农村局按职责分工负责）</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2.完善村民自治机制。</w:t>
      </w:r>
      <w:r>
        <w:rPr>
          <w:rFonts w:ascii="仿宋_GB2312" w:hAnsi="仿宋_GB2312" w:eastAsia="仿宋_GB2312" w:cs="Times New Roman"/>
          <w:color w:val="000000" w:themeColor="text1"/>
          <w:sz w:val="32"/>
          <w:szCs w:val="24"/>
          <w:highlight w:val="none"/>
          <w14:textFill>
            <w14:solidFill>
              <w14:schemeClr w14:val="tx1"/>
            </w14:solidFill>
          </w14:textFill>
        </w:rPr>
        <w:t>完善村民自治组织民主制度，深入实施村民委员会组织法，完善农村民主选举、民主决策、民主协商、民主管理、民主监督制度。健全村民委员会、村务监督委员会和集体经济组织，推进村务监督委员会建设，规范职责权限、监督内容、工作方式，提高村务监督工作的水平和实效。加强村级服务能力建设，打造“一门式办理”“一站式服务”综合服务平台。</w:t>
      </w:r>
      <w:r>
        <w:rPr>
          <w:rFonts w:hint="eastAsia" w:ascii="仿宋_GB2312" w:hAnsi="仿宋_GB2312" w:eastAsia="仿宋_GB2312" w:cs="Times New Roman"/>
          <w:color w:val="000000" w:themeColor="text1"/>
          <w:sz w:val="32"/>
          <w:szCs w:val="24"/>
          <w:highlight w:val="none"/>
          <w14:textFill>
            <w14:solidFill>
              <w14:schemeClr w14:val="tx1"/>
            </w14:solidFill>
          </w14:textFill>
        </w:rPr>
        <w:t>推进基层治理网格化。以自然村为单位，按照每30-50户或者150人左右划分一个微网格。按照“一个微网格至少一名微网格员”的模式，配齐配强微网格员，共同推进微网格服务管理。采取“采集上报—分流办理—督办回访—反馈归档”的工作流程，积极引导广大群众到乡镇综治中心（群众诉求服务中心）反映问题，表达诉求。</w:t>
      </w:r>
      <w:r>
        <w:rPr>
          <w:rFonts w:hint="eastAsia" w:ascii="仿宋_GB2312" w:hAnsi="仿宋_GB2312" w:eastAsia="楷体_GB2312" w:cs="楷体_GB2312"/>
          <w:color w:val="000000" w:themeColor="text1"/>
          <w:sz w:val="32"/>
          <w:szCs w:val="24"/>
          <w:highlight w:val="none"/>
          <w14:textFill>
            <w14:solidFill>
              <w14:schemeClr w14:val="tx1"/>
            </w14:solidFill>
          </w14:textFill>
        </w:rPr>
        <w:t>（县民政局牵头，县委农办配合）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3.推进乡村法治建设。</w:t>
      </w:r>
      <w:r>
        <w:rPr>
          <w:rFonts w:ascii="仿宋_GB2312" w:hAnsi="仿宋_GB2312" w:eastAsia="仿宋_GB2312" w:cs="Times New Roman"/>
          <w:color w:val="000000" w:themeColor="text1"/>
          <w:sz w:val="32"/>
          <w:szCs w:val="24"/>
          <w:highlight w:val="none"/>
          <w14:textFill>
            <w14:solidFill>
              <w14:schemeClr w14:val="tx1"/>
            </w14:solidFill>
          </w14:textFill>
        </w:rPr>
        <w:t>落实《临沂市法治乡村条例》，编制实施“八五”普法规划，进一步发挥“五纵五横”法治建设体系作用，积极开展法治宣传教育和法律进乡村（社区）活动，不断增强农村基层干部和农民群众的法治观念和依法维权意识。实施农村“法治带头人”培育工程，加强民主法治示范村（社区）建设，实现每个村（社区）至少有一个法治文化阵地。抓好“村居法律顾问”工作。常态化开展扫黑除恶专项斗争，加强对非法宗教活动和境外渗透滋扰活动打击力度。强化网格化管理，提升农村治安防范治理水平。</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（县委政法委牵头，县司法局、县公安局、县委统战部配合）</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4.加强乡村德治建设。</w:t>
      </w:r>
      <w:r>
        <w:rPr>
          <w:rFonts w:ascii="仿宋_GB2312" w:hAnsi="仿宋_GB2312" w:eastAsia="仿宋_GB2312" w:cs="Times New Roman"/>
          <w:color w:val="000000" w:themeColor="text1"/>
          <w:sz w:val="32"/>
          <w:szCs w:val="24"/>
          <w:highlight w:val="none"/>
          <w14:textFill>
            <w14:solidFill>
              <w14:schemeClr w14:val="tx1"/>
            </w14:solidFill>
          </w14:textFill>
        </w:rPr>
        <w:t>落实《临沂市文明乡村条例》，以传承沂蒙精神为抓手，大力弘扬社会主义核心价值观，建立道德激励约束机制。充分发挥“两代表一委员”“五老”等人员作用，鼓励参与矛盾调解、社会治理等，形成共建共享共治的良好格局。做好特殊人群人文关怀、心理疏导等工作。</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（县委宣传部牵头，县文化和旅游局、县司法局、县卫生健康局等配合）</w:t>
      </w:r>
    </w:p>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（九）深化农村改革创新，增强农业农村发展内在活力</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1.持续深化农村改革。</w:t>
      </w:r>
      <w:r>
        <w:rPr>
          <w:rFonts w:ascii="仿宋_GB2312" w:hAnsi="仿宋_GB2312" w:eastAsia="仿宋_GB2312" w:cs="Times New Roman"/>
          <w:color w:val="000000" w:themeColor="text1"/>
          <w:sz w:val="32"/>
          <w:szCs w:val="24"/>
          <w:highlight w:val="none"/>
          <w14:textFill>
            <w14:solidFill>
              <w14:schemeClr w14:val="tx1"/>
            </w14:solidFill>
          </w14:textFill>
        </w:rPr>
        <w:t>探索实施农村集体经营性建设用地入市制度，完善盘活农村存量建设用地政策。加强农村产权流转交易和管理信息网络平台建设，健全土地经营权流转服务体系。多渠道发展壮大村集体经济，提高经营性收入占比。</w:t>
      </w:r>
      <w:r>
        <w:rPr>
          <w:rFonts w:hint="eastAsia" w:ascii="仿宋_GB2312" w:hAnsi="仿宋_GB2312" w:eastAsia="仿宋_GB2312" w:cs="Times New Roman"/>
          <w:color w:val="000000" w:themeColor="text1"/>
          <w:sz w:val="32"/>
          <w:szCs w:val="24"/>
          <w:highlight w:val="none"/>
          <w14:textFill>
            <w14:solidFill>
              <w14:schemeClr w14:val="tx1"/>
            </w14:solidFill>
          </w14:textFill>
        </w:rPr>
        <w:t>（</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县农业农村局牵头，县自然资源和规划局、县委改革办、县委组织部配合）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2.推进普惠金融服务乡村振兴改革试验区建设。</w:t>
      </w:r>
      <w:r>
        <w:rPr>
          <w:rFonts w:hint="eastAsia" w:ascii="仿宋_GB2312" w:hAnsi="仿宋_GB2312" w:eastAsia="仿宋_GB2312" w:cs="Times New Roman"/>
          <w:color w:val="000000" w:themeColor="text1"/>
          <w:sz w:val="32"/>
          <w:szCs w:val="24"/>
          <w:highlight w:val="none"/>
          <w14:textFill>
            <w14:solidFill>
              <w14:schemeClr w14:val="tx1"/>
            </w14:solidFill>
          </w14:textFill>
        </w:rPr>
        <w:t>落实全市普惠金融服务乡村振兴改革试验区建设任务。加快推动农村金融服务下沉，推进金融机构与农业经营主体的需求对接，发挥金融合力，引导金融机构加大信贷投入，涉农贷款增速高于全县平均增速。推广“金融管家”普惠金融服务模式；学习借鉴费县“两山银行”等做法；开展普惠金融服务乡村振兴“一县一业”创建活动；推广使用普惠金融服务乡村振兴综合信息平台，积极推进农村信用体系建设。</w:t>
      </w:r>
      <w:r>
        <w:rPr>
          <w:rFonts w:hint="eastAsia" w:ascii="仿宋_GB2312" w:hAnsi="仿宋_GB2312" w:eastAsia="楷体_GB2312" w:cs="楷体_GB2312"/>
          <w:color w:val="000000" w:themeColor="text1"/>
          <w:sz w:val="32"/>
          <w:szCs w:val="24"/>
          <w:highlight w:val="none"/>
          <w14:textFill>
            <w14:solidFill>
              <w14:schemeClr w14:val="tx1"/>
            </w14:solidFill>
          </w14:textFill>
        </w:rPr>
        <w:t>（县地方金融发展服务中心牵头，市银保监分局郯城监管组、县人民银行、县农业农村局等配合）</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3.健全农业经营体系。</w:t>
      </w:r>
      <w:r>
        <w:rPr>
          <w:rFonts w:ascii="仿宋_GB2312" w:hAnsi="仿宋_GB2312" w:eastAsia="仿宋_GB2312" w:cs="Times New Roman"/>
          <w:color w:val="000000" w:themeColor="text1"/>
          <w:sz w:val="32"/>
          <w:szCs w:val="24"/>
          <w:highlight w:val="none"/>
          <w14:textFill>
            <w14:solidFill>
              <w14:schemeClr w14:val="tx1"/>
            </w14:solidFill>
          </w14:textFill>
        </w:rPr>
        <w:t>以规范化、专业化为方向，持续实施新型农业经营主体培育工程，提升农业规模化经营管理水平，培育壮大家庭农场，规范农民合作社运营，促进各类农业经营主体衔接融合、优势互补，引导新型农业经营主体与普通农户建立更为密切的利益联结机制。建立健全农业社会化服务体系，支持经营性服务组织提供生产、加工、贮藏、销售、科技、信息、融资、保险等农业生产全程服务。鼓励通过土地经营权流转、股份合作、代耕代种、土地托管等形式开展适度规模经营。</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（县农业农村局牵头，县自然资源和规划局、县供销社等配合）</w:t>
      </w:r>
    </w:p>
    <w:p>
      <w:pPr>
        <w:spacing w:line="600" w:lineRule="exact"/>
        <w:ind w:firstLine="643" w:firstLineChars="200"/>
        <w:rPr>
          <w:rFonts w:hint="eastAsia" w:ascii="仿宋_GB2312" w:hAnsi="仿宋_GB2312" w:eastAsia="楷体_GB2312" w:cs="楷体_GB2312"/>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4.扩大农业对外开放。</w:t>
      </w:r>
      <w:r>
        <w:rPr>
          <w:rFonts w:ascii="仿宋_GB2312" w:hAnsi="仿宋_GB2312" w:eastAsia="仿宋_GB2312" w:cs="Times New Roman"/>
          <w:color w:val="000000" w:themeColor="text1"/>
          <w:sz w:val="32"/>
          <w:szCs w:val="24"/>
          <w:highlight w:val="none"/>
          <w14:textFill>
            <w14:solidFill>
              <w14:schemeClr w14:val="tx1"/>
            </w14:solidFill>
          </w14:textFill>
        </w:rPr>
        <w:t>顺应农业全球化战略新趋势，用足用好国内外两个市场、两种资源，主动融入“一带一路”</w:t>
      </w:r>
      <w:r>
        <w:rPr>
          <w:rFonts w:hint="eastAsia" w:ascii="仿宋_GB2312" w:hAnsi="仿宋_GB2312" w:eastAsia="仿宋_GB2312" w:cs="Times New Roman"/>
          <w:color w:val="000000" w:themeColor="text1"/>
          <w:sz w:val="32"/>
          <w:szCs w:val="24"/>
          <w:highlight w:val="none"/>
          <w:lang w:val="en-US" w:eastAsia="zh-CN"/>
          <w14:textFill>
            <w14:solidFill>
              <w14:schemeClr w14:val="tx1"/>
            </w14:solidFill>
          </w14:textFill>
        </w:rPr>
        <w:t>倡议</w:t>
      </w:r>
      <w:bookmarkStart w:id="359" w:name="_GoBack"/>
      <w:bookmarkEnd w:id="359"/>
      <w:r>
        <w:rPr>
          <w:rFonts w:ascii="仿宋_GB2312" w:hAnsi="仿宋_GB2312" w:eastAsia="仿宋_GB2312" w:cs="Times New Roman"/>
          <w:color w:val="000000" w:themeColor="text1"/>
          <w:sz w:val="32"/>
          <w:szCs w:val="24"/>
          <w:highlight w:val="none"/>
          <w14:textFill>
            <w14:solidFill>
              <w14:schemeClr w14:val="tx1"/>
            </w14:solidFill>
          </w14:textFill>
        </w:rPr>
        <w:t>，立足国内大循环，促进国内国际双循环。深入实施农业“走出去”“引进来”战略，培育一批具有国际竞争力的农业企业和农产品知名品牌，加强农业科技合作交流，优化贸易与投资合作，促进农业对外开放双向提升。</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（县农业农村局牵头，县商务局配合）</w:t>
      </w:r>
    </w:p>
    <w:p>
      <w:pPr>
        <w:pStyle w:val="17"/>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tcPr>
          <w:p>
            <w:pPr>
              <w:spacing w:line="600" w:lineRule="exact"/>
              <w:jc w:val="center"/>
              <w:rPr>
                <w:rFonts w:ascii="仿宋_GB2312" w:hAnsi="仿宋_GB2312" w:eastAsia="方正小标宋简体" w:cs="方正小标宋简体"/>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28"/>
                <w:szCs w:val="28"/>
                <w:highlight w:val="none"/>
                <w14:textFill>
                  <w14:solidFill>
                    <w14:schemeClr w14:val="tx1"/>
                  </w14:solidFill>
                </w14:textFill>
              </w:rPr>
              <w:t>专栏8 深化农村改革创新工程</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2" w:firstLineChars="200"/>
              <w:textAlignment w:val="auto"/>
              <w:rPr>
                <w:rFonts w:hint="eastAsia" w:ascii="仿宋_GB2312" w:hAnsi="仿宋_GB2312" w:eastAsia="楷体_GB2312" w:cs="楷体_GB2312"/>
                <w:color w:val="000000" w:themeColor="text1"/>
                <w:sz w:val="24"/>
                <w:szCs w:val="24"/>
                <w:highlight w:val="none"/>
                <w14:textFill>
                  <w14:solidFill>
                    <w14:schemeClr w14:val="tx1"/>
                  </w14:solidFill>
                </w14:textFill>
              </w:rPr>
            </w:pPr>
            <w:r>
              <w:rPr>
                <w:rFonts w:hint="eastAsia" w:ascii="仿宋_GB2312" w:hAnsi="仿宋_GB2312" w:eastAsia="仿宋_GB2312" w:cs="Times New Roman"/>
                <w:b/>
                <w:bCs/>
                <w:color w:val="000000" w:themeColor="text1"/>
                <w:sz w:val="24"/>
                <w:szCs w:val="24"/>
                <w:highlight w:val="none"/>
                <w:lang w:val="en-US" w:eastAsia="zh-CN"/>
                <w14:textFill>
                  <w14:solidFill>
                    <w14:schemeClr w14:val="tx1"/>
                  </w14:solidFill>
                </w14:textFill>
              </w:rPr>
              <w:t>1.</w:t>
            </w:r>
            <w:r>
              <w:rPr>
                <w:rFonts w:ascii="仿宋_GB2312" w:hAnsi="仿宋_GB2312" w:eastAsia="仿宋_GB2312" w:cs="Times New Roman"/>
                <w:b/>
                <w:bCs/>
                <w:color w:val="000000" w:themeColor="text1"/>
                <w:sz w:val="24"/>
                <w:szCs w:val="24"/>
                <w:highlight w:val="none"/>
                <w14:textFill>
                  <w14:solidFill>
                    <w14:schemeClr w14:val="tx1"/>
                  </w14:solidFill>
                </w14:textFill>
              </w:rPr>
              <w:t>农村集体经济培育壮大工程。</w:t>
            </w:r>
            <w:r>
              <w:rPr>
                <w:rFonts w:ascii="仿宋_GB2312" w:hAnsi="仿宋_GB2312" w:eastAsia="仿宋_GB2312" w:cs="Times New Roman"/>
                <w:color w:val="000000" w:themeColor="text1"/>
                <w:sz w:val="24"/>
                <w:szCs w:val="24"/>
                <w:highlight w:val="none"/>
                <w14:textFill>
                  <w14:solidFill>
                    <w14:schemeClr w14:val="tx1"/>
                  </w14:solidFill>
                </w14:textFill>
              </w:rPr>
              <w:t>支持村党组织领创办农村经济合作组织，支持农村集体经济合作组织为农户和各类农业经营主体提供全程社会化服务，鼓励通过入股或参股农业产业化龙头企业、村村合作、</w:t>
            </w:r>
            <w:r>
              <w:rPr>
                <w:rFonts w:hint="eastAsia" w:ascii="仿宋_GB2312" w:hAnsi="仿宋_GB2312" w:eastAsia="仿宋_GB2312" w:cs="Times New Roman"/>
                <w:color w:val="000000" w:themeColor="text1"/>
                <w:sz w:val="24"/>
                <w:szCs w:val="24"/>
                <w:highlight w:val="none"/>
                <w14:textFill>
                  <w14:solidFill>
                    <w14:schemeClr w14:val="tx1"/>
                  </w14:solidFill>
                </w14:textFill>
              </w:rPr>
              <w:t>社企联建</w:t>
            </w:r>
            <w:r>
              <w:rPr>
                <w:rFonts w:ascii="仿宋_GB2312" w:hAnsi="仿宋_GB2312" w:eastAsia="仿宋_GB2312" w:cs="Times New Roman"/>
                <w:color w:val="000000" w:themeColor="text1"/>
                <w:sz w:val="24"/>
                <w:szCs w:val="24"/>
                <w:highlight w:val="none"/>
                <w14:textFill>
                  <w14:solidFill>
                    <w14:schemeClr w14:val="tx1"/>
                  </w14:solidFill>
                </w14:textFill>
              </w:rPr>
              <w:t>等大力发展村集体经济。到2025年，</w:t>
            </w:r>
            <w:r>
              <w:rPr>
                <w:rFonts w:hint="eastAsia" w:ascii="仿宋_GB2312" w:hAnsi="仿宋_GB2312" w:eastAsia="仿宋_GB2312" w:cs="Times New Roman"/>
                <w:color w:val="000000" w:themeColor="text1"/>
                <w:sz w:val="24"/>
                <w:szCs w:val="24"/>
                <w:highlight w:val="none"/>
                <w14:textFill>
                  <w14:solidFill>
                    <w14:schemeClr w14:val="tx1"/>
                  </w14:solidFill>
                </w14:textFill>
              </w:rPr>
              <w:t>2/3</w:t>
            </w:r>
            <w:r>
              <w:rPr>
                <w:rFonts w:ascii="仿宋_GB2312" w:hAnsi="仿宋_GB2312" w:eastAsia="仿宋_GB2312" w:cs="Times New Roman"/>
                <w:color w:val="000000" w:themeColor="text1"/>
                <w:sz w:val="24"/>
                <w:szCs w:val="24"/>
                <w:highlight w:val="none"/>
                <w14:textFill>
                  <w14:solidFill>
                    <w14:schemeClr w14:val="tx1"/>
                  </w14:solidFill>
                </w14:textFill>
              </w:rPr>
              <w:t>以上的行政村集体收入超过</w:t>
            </w:r>
            <w:r>
              <w:rPr>
                <w:rFonts w:hint="eastAsia" w:ascii="仿宋_GB2312" w:hAnsi="仿宋_GB2312" w:eastAsia="仿宋_GB2312" w:cs="Times New Roman"/>
                <w:color w:val="000000" w:themeColor="text1"/>
                <w:sz w:val="24"/>
                <w:szCs w:val="24"/>
                <w:highlight w:val="none"/>
                <w14:textFill>
                  <w14:solidFill>
                    <w14:schemeClr w14:val="tx1"/>
                  </w14:solidFill>
                </w14:textFill>
              </w:rPr>
              <w:t>50</w:t>
            </w:r>
            <w:r>
              <w:rPr>
                <w:rFonts w:ascii="仿宋_GB2312" w:hAnsi="仿宋_GB2312" w:eastAsia="仿宋_GB2312" w:cs="Times New Roman"/>
                <w:color w:val="000000" w:themeColor="text1"/>
                <w:sz w:val="24"/>
                <w:szCs w:val="24"/>
                <w:highlight w:val="none"/>
                <w14:textFill>
                  <w14:solidFill>
                    <w14:schemeClr w14:val="tx1"/>
                  </w14:solidFill>
                </w14:textFill>
              </w:rPr>
              <w:t>万元。</w:t>
            </w:r>
            <w:r>
              <w:rPr>
                <w:rFonts w:hint="eastAsia" w:ascii="仿宋_GB2312" w:hAnsi="仿宋_GB2312" w:eastAsia="楷体_GB2312" w:cs="楷体_GB2312"/>
                <w:color w:val="000000" w:themeColor="text1"/>
                <w:sz w:val="24"/>
                <w:szCs w:val="24"/>
                <w:highlight w:val="none"/>
                <w14:textFill>
                  <w14:solidFill>
                    <w14:schemeClr w14:val="tx1"/>
                  </w14:solidFill>
                </w14:textFill>
              </w:rPr>
              <w:t>（县委组织部、县农业农村局牵头）</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textAlignment w:val="auto"/>
              <w:rPr>
                <w:rFonts w:hint="eastAsia" w:ascii="仿宋_GB2312" w:hAnsi="仿宋_GB2312" w:eastAsia="楷体_GB2312" w:cs="楷体_GB2312"/>
                <w:color w:val="000000" w:themeColor="text1"/>
                <w:sz w:val="24"/>
                <w:szCs w:val="24"/>
                <w:highlight w:val="none"/>
                <w14:textFill>
                  <w14:solidFill>
                    <w14:schemeClr w14:val="tx1"/>
                  </w14:solidFill>
                </w14:textFill>
              </w:rPr>
            </w:pPr>
            <w:r>
              <w:rPr>
                <w:rFonts w:ascii="仿宋_GB2312" w:hAnsi="仿宋_GB2312" w:eastAsia="Times New Roman" w:cs="Times New Roman"/>
                <w:b/>
                <w:color w:val="000000" w:themeColor="text1"/>
                <w:sz w:val="24"/>
                <w:szCs w:val="24"/>
                <w:highlight w:val="none"/>
                <w14:textFill>
                  <w14:solidFill>
                    <w14:schemeClr w14:val="tx1"/>
                  </w14:solidFill>
                </w14:textFill>
              </w:rPr>
              <w:t>2.</w:t>
            </w:r>
            <w:r>
              <w:rPr>
                <w:rFonts w:hint="eastAsia" w:ascii="仿宋_GB2312" w:hAnsi="仿宋_GB2312" w:eastAsia="仿宋_GB2312" w:cs="Times New Roman"/>
                <w:b/>
                <w:color w:val="000000" w:themeColor="text1"/>
                <w:spacing w:val="1"/>
                <w:w w:val="99"/>
                <w:sz w:val="24"/>
                <w:szCs w:val="24"/>
                <w:highlight w:val="none"/>
                <w14:textFill>
                  <w14:solidFill>
                    <w14:schemeClr w14:val="tx1"/>
                  </w14:solidFill>
                </w14:textFill>
              </w:rPr>
              <w:t>新型农业经营主体培育工程</w:t>
            </w:r>
            <w:r>
              <w:rPr>
                <w:rFonts w:hint="eastAsia" w:ascii="仿宋_GB2312" w:hAnsi="仿宋_GB2312" w:eastAsia="仿宋_GB2312" w:cs="Times New Roman"/>
                <w:b/>
                <w:color w:val="000000" w:themeColor="text1"/>
                <w:spacing w:val="2"/>
                <w:w w:val="99"/>
                <w:sz w:val="24"/>
                <w:szCs w:val="24"/>
                <w:highlight w:val="none"/>
                <w14:textFill>
                  <w14:solidFill>
                    <w14:schemeClr w14:val="tx1"/>
                  </w14:solidFill>
                </w14:textFill>
              </w:rPr>
              <w:t>。</w:t>
            </w:r>
            <w:r>
              <w:rPr>
                <w:rFonts w:hint="eastAsia" w:ascii="仿宋_GB2312" w:hAnsi="仿宋_GB2312" w:eastAsia="仿宋_GB2312" w:cs="Times New Roman"/>
                <w:color w:val="000000" w:themeColor="text1"/>
                <w:sz w:val="24"/>
                <w:szCs w:val="24"/>
                <w:highlight w:val="none"/>
                <w14:textFill>
                  <w14:solidFill>
                    <w14:schemeClr w14:val="tx1"/>
                  </w14:solidFill>
                </w14:textFill>
              </w:rPr>
              <w:t>推进家庭农场、农民</w:t>
            </w:r>
            <w:r>
              <w:rPr>
                <w:rFonts w:hint="eastAsia" w:ascii="仿宋_GB2312" w:hAnsi="仿宋_GB2312" w:eastAsia="仿宋_GB2312" w:cs="Times New Roman"/>
                <w:color w:val="000000" w:themeColor="text1"/>
                <w:spacing w:val="1"/>
                <w:sz w:val="24"/>
                <w:szCs w:val="24"/>
                <w:highlight w:val="none"/>
                <w14:textFill>
                  <w14:solidFill>
                    <w14:schemeClr w14:val="tx1"/>
                  </w14:solidFill>
                </w14:textFill>
              </w:rPr>
              <w:t>合</w:t>
            </w:r>
            <w:r>
              <w:rPr>
                <w:rFonts w:hint="eastAsia" w:ascii="仿宋_GB2312" w:hAnsi="仿宋_GB2312" w:eastAsia="仿宋_GB2312" w:cs="Times New Roman"/>
                <w:color w:val="000000" w:themeColor="text1"/>
                <w:sz w:val="24"/>
                <w:szCs w:val="24"/>
                <w:highlight w:val="none"/>
                <w14:textFill>
                  <w14:solidFill>
                    <w14:schemeClr w14:val="tx1"/>
                  </w14:solidFill>
                </w14:textFill>
              </w:rPr>
              <w:t>作社、农业产业化龙头企业三级联创</w:t>
            </w:r>
            <w:r>
              <w:rPr>
                <w:rFonts w:hint="eastAsia" w:ascii="仿宋_GB2312" w:hAnsi="仿宋_GB2312" w:eastAsia="仿宋_GB2312" w:cs="Times New Roman"/>
                <w:color w:val="000000" w:themeColor="text1"/>
                <w:spacing w:val="-70"/>
                <w:sz w:val="24"/>
                <w:szCs w:val="24"/>
                <w:highlight w:val="none"/>
                <w14:textFill>
                  <w14:solidFill>
                    <w14:schemeClr w14:val="tx1"/>
                  </w14:solidFill>
                </w14:textFill>
              </w:rPr>
              <w:t>，</w:t>
            </w:r>
            <w:r>
              <w:rPr>
                <w:rFonts w:hint="eastAsia" w:ascii="仿宋_GB2312" w:hAnsi="仿宋_GB2312" w:eastAsia="仿宋_GB2312" w:cs="Times New Roman"/>
                <w:color w:val="000000" w:themeColor="text1"/>
                <w:sz w:val="24"/>
                <w:szCs w:val="24"/>
                <w:highlight w:val="none"/>
                <w14:textFill>
                  <w14:solidFill>
                    <w14:schemeClr w14:val="tx1"/>
                  </w14:solidFill>
                </w14:textFill>
              </w:rPr>
              <w:t>大力培育社会化服务组织</w:t>
            </w:r>
            <w:r>
              <w:rPr>
                <w:rFonts w:hint="eastAsia" w:ascii="仿宋_GB2312" w:hAnsi="仿宋_GB2312" w:eastAsia="仿宋_GB2312" w:cs="Times New Roman"/>
                <w:color w:val="000000" w:themeColor="text1"/>
                <w:spacing w:val="-70"/>
                <w:sz w:val="24"/>
                <w:szCs w:val="24"/>
                <w:highlight w:val="none"/>
                <w14:textFill>
                  <w14:solidFill>
                    <w14:schemeClr w14:val="tx1"/>
                  </w14:solidFill>
                </w14:textFill>
              </w:rPr>
              <w:t>，</w:t>
            </w:r>
            <w:r>
              <w:rPr>
                <w:rFonts w:hint="eastAsia" w:ascii="仿宋_GB2312" w:hAnsi="仿宋_GB2312" w:eastAsia="仿宋_GB2312" w:cs="Times New Roman"/>
                <w:color w:val="000000" w:themeColor="text1"/>
                <w:sz w:val="24"/>
                <w:szCs w:val="24"/>
                <w:highlight w:val="none"/>
                <w14:textFill>
                  <w14:solidFill>
                    <w14:schemeClr w14:val="tx1"/>
                  </w14:solidFill>
                </w14:textFill>
              </w:rPr>
              <w:t>实现小农户与现代农业有机衔接</w:t>
            </w:r>
            <w:r>
              <w:rPr>
                <w:rFonts w:hint="eastAsia" w:ascii="仿宋_GB2312" w:hAnsi="仿宋_GB2312" w:eastAsia="仿宋_GB2312" w:cs="Times New Roman"/>
                <w:color w:val="000000" w:themeColor="text1"/>
                <w:spacing w:val="-70"/>
                <w:sz w:val="24"/>
                <w:szCs w:val="24"/>
                <w:highlight w:val="none"/>
                <w14:textFill>
                  <w14:solidFill>
                    <w14:schemeClr w14:val="tx1"/>
                  </w14:solidFill>
                </w14:textFill>
              </w:rPr>
              <w:t>。</w:t>
            </w:r>
            <w:r>
              <w:rPr>
                <w:rFonts w:hint="eastAsia" w:ascii="仿宋_GB2312" w:hAnsi="仿宋_GB2312" w:eastAsia="仿宋_GB2312" w:cs="Times New Roman"/>
                <w:color w:val="000000" w:themeColor="text1"/>
                <w:sz w:val="24"/>
                <w:szCs w:val="24"/>
                <w:highlight w:val="none"/>
                <w14:textFill>
                  <w14:solidFill>
                    <w14:schemeClr w14:val="tx1"/>
                  </w14:solidFill>
                </w14:textFill>
              </w:rPr>
              <w:t>到</w:t>
            </w:r>
            <w:r>
              <w:rPr>
                <w:rFonts w:ascii="仿宋_GB2312" w:hAnsi="仿宋_GB2312" w:eastAsia="Times New Roman" w:cs="Times New Roman"/>
                <w:color w:val="000000" w:themeColor="text1"/>
                <w:sz w:val="24"/>
                <w:szCs w:val="24"/>
                <w:highlight w:val="none"/>
                <w14:textFill>
                  <w14:solidFill>
                    <w14:schemeClr w14:val="tx1"/>
                  </w14:solidFill>
                </w14:textFill>
              </w:rPr>
              <w:t>2025</w:t>
            </w:r>
            <w:r>
              <w:rPr>
                <w:rFonts w:hint="eastAsia" w:ascii="仿宋_GB2312" w:hAnsi="仿宋_GB2312" w:eastAsia="仿宋_GB2312" w:cs="Times New Roman"/>
                <w:color w:val="000000" w:themeColor="text1"/>
                <w:sz w:val="24"/>
                <w:szCs w:val="24"/>
                <w:highlight w:val="none"/>
                <w14:textFill>
                  <w14:solidFill>
                    <w14:schemeClr w14:val="tx1"/>
                  </w14:solidFill>
                </w14:textFill>
              </w:rPr>
              <w:t>年</w:t>
            </w:r>
            <w:r>
              <w:rPr>
                <w:rFonts w:hint="eastAsia" w:ascii="仿宋_GB2312" w:hAnsi="仿宋_GB2312" w:eastAsia="仿宋_GB2312" w:cs="Times New Roman"/>
                <w:color w:val="000000" w:themeColor="text1"/>
                <w:spacing w:val="-75"/>
                <w:sz w:val="24"/>
                <w:szCs w:val="24"/>
                <w:highlight w:val="none"/>
                <w14:textFill>
                  <w14:solidFill>
                    <w14:schemeClr w14:val="tx1"/>
                  </w14:solidFill>
                </w14:textFill>
              </w:rPr>
              <w:t>，</w:t>
            </w:r>
            <w:r>
              <w:rPr>
                <w:rFonts w:hint="eastAsia" w:ascii="仿宋_GB2312" w:hAnsi="仿宋_GB2312" w:eastAsia="仿宋_GB2312" w:cs="Times New Roman"/>
                <w:color w:val="000000" w:themeColor="text1"/>
                <w:spacing w:val="-1"/>
                <w:sz w:val="24"/>
                <w:szCs w:val="24"/>
                <w:highlight w:val="none"/>
                <w14:textFill>
                  <w14:solidFill>
                    <w14:schemeClr w14:val="tx1"/>
                  </w14:solidFill>
                </w14:textFill>
              </w:rPr>
              <w:t>市级以上农业产业化龙头企业达</w:t>
            </w:r>
            <w:r>
              <w:rPr>
                <w:rFonts w:hint="eastAsia" w:ascii="仿宋_GB2312" w:hAnsi="仿宋_GB2312" w:eastAsia="仿宋_GB2312" w:cs="Times New Roman"/>
                <w:color w:val="000000" w:themeColor="text1"/>
                <w:sz w:val="24"/>
                <w:szCs w:val="24"/>
                <w:highlight w:val="none"/>
                <w14:textFill>
                  <w14:solidFill>
                    <w14:schemeClr w14:val="tx1"/>
                  </w14:solidFill>
                </w14:textFill>
              </w:rPr>
              <w:t>到</w:t>
            </w:r>
            <w:r>
              <w:rPr>
                <w:rFonts w:hint="eastAsia" w:ascii="仿宋_GB2312" w:hAnsi="仿宋_GB2312" w:eastAsia="宋体" w:cs="Times New Roman"/>
                <w:color w:val="000000" w:themeColor="text1"/>
                <w:sz w:val="24"/>
                <w:szCs w:val="24"/>
                <w:highlight w:val="none"/>
                <w14:textFill>
                  <w14:solidFill>
                    <w14:schemeClr w14:val="tx1"/>
                  </w14:solidFill>
                </w14:textFill>
              </w:rPr>
              <w:t>60</w:t>
            </w:r>
            <w:r>
              <w:rPr>
                <w:rFonts w:hint="eastAsia" w:ascii="仿宋_GB2312" w:hAnsi="仿宋_GB2312" w:eastAsia="仿宋_GB2312" w:cs="Times New Roman"/>
                <w:color w:val="000000" w:themeColor="text1"/>
                <w:sz w:val="24"/>
                <w:szCs w:val="24"/>
                <w:highlight w:val="none"/>
                <w14:textFill>
                  <w14:solidFill>
                    <w14:schemeClr w14:val="tx1"/>
                  </w14:solidFill>
                </w14:textFill>
              </w:rPr>
              <w:t>家</w:t>
            </w:r>
            <w:r>
              <w:rPr>
                <w:rFonts w:hint="eastAsia" w:ascii="仿宋_GB2312" w:hAnsi="仿宋_GB2312" w:eastAsia="仿宋_GB2312" w:cs="Times New Roman"/>
                <w:color w:val="000000" w:themeColor="text1"/>
                <w:spacing w:val="-75"/>
                <w:sz w:val="24"/>
                <w:szCs w:val="24"/>
                <w:highlight w:val="none"/>
                <w14:textFill>
                  <w14:solidFill>
                    <w14:schemeClr w14:val="tx1"/>
                  </w14:solidFill>
                </w14:textFill>
              </w:rPr>
              <w:t>，</w:t>
            </w:r>
            <w:r>
              <w:rPr>
                <w:rFonts w:hint="eastAsia" w:ascii="仿宋_GB2312" w:hAnsi="仿宋_GB2312" w:eastAsia="仿宋_GB2312" w:cs="Times New Roman"/>
                <w:color w:val="000000" w:themeColor="text1"/>
                <w:spacing w:val="-1"/>
                <w:sz w:val="24"/>
                <w:szCs w:val="24"/>
                <w:highlight w:val="none"/>
                <w14:textFill>
                  <w14:solidFill>
                    <w14:schemeClr w14:val="tx1"/>
                  </w14:solidFill>
                </w14:textFill>
              </w:rPr>
              <w:t>市级以上示范家庭农场达</w:t>
            </w:r>
            <w:r>
              <w:rPr>
                <w:rFonts w:hint="eastAsia" w:ascii="仿宋_GB2312" w:hAnsi="仿宋_GB2312" w:eastAsia="仿宋_GB2312" w:cs="Times New Roman"/>
                <w:color w:val="000000" w:themeColor="text1"/>
                <w:sz w:val="24"/>
                <w:szCs w:val="24"/>
                <w:highlight w:val="none"/>
                <w14:textFill>
                  <w14:solidFill>
                    <w14:schemeClr w14:val="tx1"/>
                  </w14:solidFill>
                </w14:textFill>
              </w:rPr>
              <w:t>到</w:t>
            </w:r>
            <w:r>
              <w:rPr>
                <w:rFonts w:hint="eastAsia" w:ascii="仿宋_GB2312" w:hAnsi="仿宋_GB2312" w:eastAsia="宋体" w:cs="Times New Roman"/>
                <w:color w:val="000000" w:themeColor="text1"/>
                <w:sz w:val="24"/>
                <w:szCs w:val="24"/>
                <w:highlight w:val="none"/>
                <w14:textFill>
                  <w14:solidFill>
                    <w14:schemeClr w14:val="tx1"/>
                  </w14:solidFill>
                </w14:textFill>
              </w:rPr>
              <w:t>50</w:t>
            </w:r>
            <w:r>
              <w:rPr>
                <w:rFonts w:hint="eastAsia" w:ascii="仿宋_GB2312" w:hAnsi="仿宋_GB2312" w:eastAsia="仿宋_GB2312" w:cs="Times New Roman"/>
                <w:color w:val="000000" w:themeColor="text1"/>
                <w:sz w:val="24"/>
                <w:szCs w:val="24"/>
                <w:highlight w:val="none"/>
                <w14:textFill>
                  <w14:solidFill>
                    <w14:schemeClr w14:val="tx1"/>
                  </w14:solidFill>
                </w14:textFill>
              </w:rPr>
              <w:t>家、示范农民合作社达到</w:t>
            </w:r>
            <w:r>
              <w:rPr>
                <w:rFonts w:hint="eastAsia" w:ascii="仿宋_GB2312" w:hAnsi="仿宋_GB2312" w:eastAsia="宋体" w:cs="Times New Roman"/>
                <w:color w:val="000000" w:themeColor="text1"/>
                <w:sz w:val="24"/>
                <w:szCs w:val="24"/>
                <w:highlight w:val="none"/>
                <w14:textFill>
                  <w14:solidFill>
                    <w14:schemeClr w14:val="tx1"/>
                  </w14:solidFill>
                </w14:textFill>
              </w:rPr>
              <w:t>80</w:t>
            </w:r>
            <w:r>
              <w:rPr>
                <w:rFonts w:hint="eastAsia" w:ascii="仿宋_GB2312" w:hAnsi="仿宋_GB2312" w:eastAsia="仿宋_GB2312" w:cs="Times New Roman"/>
                <w:color w:val="000000" w:themeColor="text1"/>
                <w:sz w:val="24"/>
                <w:szCs w:val="24"/>
                <w:highlight w:val="none"/>
                <w14:textFill>
                  <w14:solidFill>
                    <w14:schemeClr w14:val="tx1"/>
                  </w14:solidFill>
                </w14:textFill>
              </w:rPr>
              <w:t>家</w:t>
            </w:r>
            <w:r>
              <w:rPr>
                <w:rFonts w:hint="eastAsia" w:ascii="仿宋_GB2312" w:hAnsi="仿宋_GB2312" w:eastAsia="仿宋_GB2312" w:cs="Times New Roman"/>
                <w:color w:val="000000" w:themeColor="text1"/>
                <w:spacing w:val="-10"/>
                <w:sz w:val="24"/>
                <w:szCs w:val="24"/>
                <w:highlight w:val="none"/>
                <w14:textFill>
                  <w14:solidFill>
                    <w14:schemeClr w14:val="tx1"/>
                  </w14:solidFill>
                </w14:textFill>
              </w:rPr>
              <w:t>，</w:t>
            </w:r>
            <w:r>
              <w:rPr>
                <w:rFonts w:hint="eastAsia" w:ascii="仿宋_GB2312" w:hAnsi="仿宋_GB2312" w:eastAsia="仿宋_GB2312" w:cs="Times New Roman"/>
                <w:color w:val="000000" w:themeColor="text1"/>
                <w:sz w:val="24"/>
                <w:szCs w:val="24"/>
                <w:highlight w:val="none"/>
                <w14:textFill>
                  <w14:solidFill>
                    <w14:schemeClr w14:val="tx1"/>
                  </w14:solidFill>
                </w14:textFill>
              </w:rPr>
              <w:t>示范农业生产性服务组织达到</w:t>
            </w:r>
            <w:r>
              <w:rPr>
                <w:rFonts w:ascii="仿宋_GB2312" w:hAnsi="仿宋_GB2312" w:eastAsia="Times New Roman" w:cs="Times New Roman"/>
                <w:color w:val="000000" w:themeColor="text1"/>
                <w:sz w:val="24"/>
                <w:szCs w:val="24"/>
                <w:highlight w:val="none"/>
                <w14:textFill>
                  <w14:solidFill>
                    <w14:schemeClr w14:val="tx1"/>
                  </w14:solidFill>
                </w14:textFill>
              </w:rPr>
              <w:t>130</w:t>
            </w:r>
            <w:r>
              <w:rPr>
                <w:rFonts w:hint="eastAsia" w:ascii="仿宋_GB2312" w:hAnsi="仿宋_GB2312" w:eastAsia="仿宋_GB2312" w:cs="Times New Roman"/>
                <w:color w:val="000000" w:themeColor="text1"/>
                <w:sz w:val="24"/>
                <w:szCs w:val="24"/>
                <w:highlight w:val="none"/>
                <w14:textFill>
                  <w14:solidFill>
                    <w14:schemeClr w14:val="tx1"/>
                  </w14:solidFill>
                </w14:textFill>
              </w:rPr>
              <w:t>家</w:t>
            </w:r>
            <w:r>
              <w:rPr>
                <w:rFonts w:hint="eastAsia" w:ascii="仿宋_GB2312" w:hAnsi="仿宋_GB2312" w:eastAsia="仿宋_GB2312" w:cs="Times New Roman"/>
                <w:color w:val="000000" w:themeColor="text1"/>
                <w:spacing w:val="-20"/>
                <w:sz w:val="24"/>
                <w:szCs w:val="24"/>
                <w:highlight w:val="none"/>
                <w14:textFill>
                  <w14:solidFill>
                    <w14:schemeClr w14:val="tx1"/>
                  </w14:solidFill>
                </w14:textFill>
              </w:rPr>
              <w:t>。</w:t>
            </w:r>
            <w:r>
              <w:rPr>
                <w:rFonts w:hint="eastAsia" w:ascii="仿宋_GB2312" w:hAnsi="仿宋_GB2312" w:eastAsia="楷体_GB2312" w:cs="Times New Roman"/>
                <w:color w:val="000000" w:themeColor="text1"/>
                <w:spacing w:val="-1"/>
                <w:sz w:val="24"/>
                <w:szCs w:val="24"/>
                <w:highlight w:val="none"/>
                <w14:textFill>
                  <w14:solidFill>
                    <w14:schemeClr w14:val="tx1"/>
                  </w14:solidFill>
                </w14:textFill>
              </w:rPr>
              <w:t>（县农业农村</w:t>
            </w:r>
            <w:r>
              <w:rPr>
                <w:rFonts w:hint="eastAsia" w:ascii="仿宋_GB2312" w:hAnsi="仿宋_GB2312" w:eastAsia="楷体_GB2312" w:cs="Times New Roman"/>
                <w:color w:val="000000" w:themeColor="text1"/>
                <w:sz w:val="24"/>
                <w:szCs w:val="24"/>
                <w:highlight w:val="none"/>
                <w14:textFill>
                  <w14:solidFill>
                    <w14:schemeClr w14:val="tx1"/>
                  </w14:solidFill>
                </w14:textFill>
              </w:rPr>
              <w:t>局牵头）</w:t>
            </w:r>
          </w:p>
        </w:tc>
      </w:tr>
    </w:tbl>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（十）巩固拓展脱贫攻坚成果，推动与乡村振兴有效衔接</w:t>
      </w:r>
    </w:p>
    <w:p>
      <w:pPr>
        <w:spacing w:line="600" w:lineRule="exact"/>
        <w:ind w:firstLine="643"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仿宋_GB2312" w:cs="Times New Roman"/>
          <w:b/>
          <w:bCs/>
          <w:color w:val="000000" w:themeColor="text1"/>
          <w:sz w:val="32"/>
          <w:szCs w:val="24"/>
          <w:highlight w:val="none"/>
          <w14:textFill>
            <w14:solidFill>
              <w14:schemeClr w14:val="tx1"/>
            </w14:solidFill>
          </w14:textFill>
        </w:rPr>
        <w:t>1.</w:t>
      </w:r>
      <w:r>
        <w:rPr>
          <w:rFonts w:ascii="仿宋_GB2312" w:hAnsi="仿宋_GB2312" w:eastAsia="仿宋_GB2312" w:cs="Times New Roman"/>
          <w:b/>
          <w:bCs/>
          <w:color w:val="000000" w:themeColor="text1"/>
          <w:sz w:val="32"/>
          <w:szCs w:val="24"/>
          <w:highlight w:val="none"/>
          <w14:textFill>
            <w14:solidFill>
              <w14:schemeClr w14:val="tx1"/>
            </w14:solidFill>
          </w14:textFill>
        </w:rPr>
        <w:t>建立健全巩固拓展脱贫攻坚成果长效机制。</w:t>
      </w:r>
      <w:r>
        <w:rPr>
          <w:rFonts w:ascii="仿宋_GB2312" w:hAnsi="仿宋_GB2312" w:eastAsia="仿宋_GB2312" w:cs="Times New Roman"/>
          <w:color w:val="000000" w:themeColor="text1"/>
          <w:sz w:val="32"/>
          <w:szCs w:val="24"/>
          <w:highlight w:val="none"/>
          <w14:textFill>
            <w14:solidFill>
              <w14:schemeClr w14:val="tx1"/>
            </w14:solidFill>
          </w14:textFill>
        </w:rPr>
        <w:t>过渡期内严格落实“四个不摘”要求，保持现有主要帮扶政策、资金支持、帮扶力量总体稳定，巩固“两不愁三保障”成果。根据巩固拓展脱贫攻坚成果同乡村振兴有效衔接工作的新情况、新变化、新问题，调整优化制定出台新的政策措施，逐步实现由集中资源支持脱贫攻坚向全面推进乡村振兴平稳过渡，确保政策连续性。完善动态监测机制，持续跟踪脱贫人口收入变化和“两不愁三保障”情况，适时采取针对性帮扶措施，坚决防止返贫和新致贫。扎实做好易地搬迁后续帮扶工作，持续加大就业和产业扶持力度，继续完善安置区配套基础设施、产业园区配套设施、公共服务设施，切实提升社区治理能力。继续做好对口支援和协作帮扶工作，构建全方位、多渠道、立体化协作格局。完善社会力量帮扶机制，依托爱心众筹平台、慈善超市，持续开展各类帮扶活动，凝聚各方资源支持巩固拓展脱贫攻坚成果，助力乡村振兴。</w:t>
      </w:r>
      <w:r>
        <w:rPr>
          <w:rFonts w:hint="eastAsia" w:ascii="仿宋_GB2312" w:hAnsi="仿宋_GB2312" w:eastAsia="仿宋_GB2312" w:cs="Times New Roman"/>
          <w:color w:val="000000" w:themeColor="text1"/>
          <w:sz w:val="32"/>
          <w:szCs w:val="24"/>
          <w:highlight w:val="none"/>
          <w14:textFill>
            <w14:solidFill>
              <w14:schemeClr w14:val="tx1"/>
            </w14:solidFill>
          </w14:textFill>
        </w:rPr>
        <w:t>鼓励农民从事非遗产业，拓展就地就近就业。</w:t>
      </w:r>
      <w:r>
        <w:rPr>
          <w:rFonts w:hint="eastAsia" w:ascii="仿宋_GB2312" w:hAnsi="仿宋_GB2312" w:eastAsia="楷体_GB2312" w:cs="楷体_GB2312"/>
          <w:color w:val="000000" w:themeColor="text1"/>
          <w:sz w:val="32"/>
          <w:szCs w:val="24"/>
          <w:highlight w:val="none"/>
          <w14:textFill>
            <w14:solidFill>
              <w14:schemeClr w14:val="tx1"/>
            </w14:solidFill>
          </w14:textFill>
        </w:rPr>
        <w:t>（县财政局、县发改局、县农业农村局、县人社局、县教体局、县卫生健康局、县住建局、县民政局按职责分工负责）</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2.加快推进重点帮扶区域乡村全面振兴。</w:t>
      </w:r>
      <w:r>
        <w:rPr>
          <w:rFonts w:ascii="仿宋_GB2312" w:hAnsi="仿宋_GB2312" w:eastAsia="仿宋_GB2312" w:cs="Times New Roman"/>
          <w:color w:val="000000" w:themeColor="text1"/>
          <w:sz w:val="32"/>
          <w:szCs w:val="24"/>
          <w:highlight w:val="none"/>
          <w14:textFill>
            <w14:solidFill>
              <w14:schemeClr w14:val="tx1"/>
            </w14:solidFill>
          </w14:textFill>
        </w:rPr>
        <w:t>因地制宜发展乡村优势特色产业，结合实施乡村振兴“三步走”路径，完善全产业链支持措施，推动产业规模化、标准化、品牌化发展。支持村党组织领创办合作社，全面落实“四权分置”管理机制，确保扶贫资产长期良性运营、持续发挥效益。统筹用好公益岗位，规范管理扶贫车间，对符合条件的就业困难人员进行就业援助。鼓励重点</w:t>
      </w:r>
      <w:r>
        <w:rPr>
          <w:rFonts w:hint="eastAsia" w:ascii="仿宋_GB2312" w:hAnsi="仿宋_GB2312" w:eastAsia="仿宋_GB2312" w:cs="Times New Roman"/>
          <w:color w:val="000000" w:themeColor="text1"/>
          <w:sz w:val="32"/>
          <w:szCs w:val="24"/>
          <w:highlight w:val="none"/>
          <w14:textFill>
            <w14:solidFill>
              <w14:schemeClr w14:val="tx1"/>
            </w14:solidFill>
          </w14:textFill>
        </w:rPr>
        <w:t>乡镇</w:t>
      </w:r>
      <w:r>
        <w:rPr>
          <w:rFonts w:ascii="仿宋_GB2312" w:hAnsi="仿宋_GB2312" w:eastAsia="仿宋_GB2312" w:cs="Times New Roman"/>
          <w:color w:val="000000" w:themeColor="text1"/>
          <w:sz w:val="32"/>
          <w:szCs w:val="24"/>
          <w:highlight w:val="none"/>
          <w14:textFill>
            <w14:solidFill>
              <w14:schemeClr w14:val="tx1"/>
            </w14:solidFill>
          </w14:textFill>
        </w:rPr>
        <w:t>采取以工代赈方式，吸纳更多脱贫人口和低收入人口就地就近就业。实施基础设施建设提升工程，全面改善农村水、电、路、气、房、讯、物流等生产生活基础设施条件。接续推进农村人居环境整治，加强村级综合服务设施建设，全面提升重点县农村教育、医疗卫生、社会保障、养老、文化体育等公共服务水平。</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发改局、县财政局、县文化和旅游局、县自然资源和规划局、县人社局、县民政局、县交通运输局、县住建局、县商务局、市生态环境局郯城县分局、县综合行政执法局、县卫生健康局、县医保局、县委组织部等按职责分工负责）</w:t>
      </w:r>
    </w:p>
    <w:p>
      <w:pPr>
        <w:spacing w:line="600" w:lineRule="exact"/>
        <w:ind w:firstLine="643" w:firstLineChars="200"/>
        <w:rPr>
          <w:rFonts w:ascii="仿宋_GB2312" w:hAnsi="仿宋_GB2312" w:eastAsia="仿宋_GB2312" w:cs="Times New Roman"/>
          <w:color w:val="000000" w:themeColor="text1"/>
          <w:sz w:val="32"/>
          <w:szCs w:val="24"/>
          <w:highlight w:val="none"/>
          <w14:textFill>
            <w14:solidFill>
              <w14:schemeClr w14:val="tx1"/>
            </w14:solidFill>
          </w14:textFill>
        </w:rPr>
      </w:pPr>
      <w:r>
        <w:rPr>
          <w:rFonts w:ascii="仿宋_GB2312" w:hAnsi="仿宋_GB2312" w:eastAsia="仿宋_GB2312" w:cs="Times New Roman"/>
          <w:b/>
          <w:bCs/>
          <w:color w:val="000000" w:themeColor="text1"/>
          <w:sz w:val="32"/>
          <w:szCs w:val="24"/>
          <w:highlight w:val="none"/>
          <w14:textFill>
            <w14:solidFill>
              <w14:schemeClr w14:val="tx1"/>
            </w14:solidFill>
          </w14:textFill>
        </w:rPr>
        <w:t>3.加强农村低收入人口常态化帮扶。</w:t>
      </w:r>
      <w:r>
        <w:rPr>
          <w:rFonts w:ascii="仿宋_GB2312" w:hAnsi="仿宋_GB2312" w:eastAsia="仿宋_GB2312" w:cs="Times New Roman"/>
          <w:color w:val="000000" w:themeColor="text1"/>
          <w:sz w:val="32"/>
          <w:szCs w:val="24"/>
          <w:highlight w:val="none"/>
          <w14:textFill>
            <w14:solidFill>
              <w14:schemeClr w14:val="tx1"/>
            </w14:solidFill>
          </w14:textFill>
        </w:rPr>
        <w:t>开展农村低收入人口动态监测，实行分层分类帮扶。对有劳动能力的农村低收入人口，坚持开发式帮扶，帮助其提高内生发展能力，发展产业、参与就业，依靠双手勤劳致富。对脱贫人口中丧失劳动能力且无法通过产业就业获得稳定收入的人口，以现有社会保障体系为基础，按规定纳入农村低保或特困人员救助供养范围，并按困难类型及时给予专项救助、临时救助。</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（县农业农村局、县人社局、县民政局等按职责分工负责）</w:t>
      </w:r>
    </w:p>
    <w:p>
      <w:pPr>
        <w:spacing w:line="600" w:lineRule="exact"/>
        <w:ind w:firstLine="640" w:firstLineChars="200"/>
        <w:rPr>
          <w:rFonts w:ascii="仿宋_GB2312" w:hAnsi="仿宋_GB2312" w:eastAsia="黑体" w:cs="黑体"/>
          <w:color w:val="000000" w:themeColor="text1"/>
          <w:sz w:val="32"/>
          <w:szCs w:val="24"/>
          <w:highlight w:val="none"/>
          <w14:textFill>
            <w14:solidFill>
              <w14:schemeClr w14:val="tx1"/>
            </w14:solidFill>
          </w14:textFill>
        </w:rPr>
      </w:pPr>
      <w:r>
        <w:rPr>
          <w:rFonts w:hint="eastAsia" w:ascii="仿宋_GB2312" w:hAnsi="仿宋_GB2312" w:eastAsia="黑体" w:cs="黑体"/>
          <w:color w:val="000000" w:themeColor="text1"/>
          <w:sz w:val="32"/>
          <w:szCs w:val="24"/>
          <w:highlight w:val="none"/>
          <w14:textFill>
            <w14:solidFill>
              <w14:schemeClr w14:val="tx1"/>
            </w14:solidFill>
          </w14:textFill>
        </w:rPr>
        <w:t>五、保障措施</w:t>
      </w:r>
    </w:p>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（一）强化组织实施。</w:t>
      </w:r>
      <w:r>
        <w:rPr>
          <w:rFonts w:ascii="仿宋_GB2312" w:hAnsi="仿宋_GB2312" w:eastAsia="仿宋_GB2312" w:cs="Times New Roman"/>
          <w:color w:val="000000" w:themeColor="text1"/>
          <w:sz w:val="32"/>
          <w:szCs w:val="24"/>
          <w:highlight w:val="none"/>
          <w14:textFill>
            <w14:solidFill>
              <w14:schemeClr w14:val="tx1"/>
            </w14:solidFill>
          </w14:textFill>
        </w:rPr>
        <w:t>坚持党对“三农”工作的全面领导，各级、各有关部门要站在全局高度，充分认识农业农村现代化建设的重要意义，把加快实现农业农村现代化列入重要议事日程，建立健全农业农村现代化工作协调机制。各有关部门要按照责任分工抓好主要指标以及重大工程、重大项目、重大政策的落实工作。明确目标任务、实施进度和具体措施，按计划、有步骤推进规划实施，形成规范化、制度化、常态化的工作格局。</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（县委农办、县农业农村局负责）</w:t>
      </w:r>
    </w:p>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（二）强化用地保障。</w:t>
      </w:r>
      <w:r>
        <w:rPr>
          <w:rFonts w:ascii="仿宋_GB2312" w:hAnsi="仿宋_GB2312" w:eastAsia="仿宋_GB2312" w:cs="Times New Roman"/>
          <w:color w:val="000000" w:themeColor="text1"/>
          <w:sz w:val="32"/>
          <w:szCs w:val="24"/>
          <w:highlight w:val="none"/>
          <w14:textFill>
            <w14:solidFill>
              <w14:schemeClr w14:val="tx1"/>
            </w14:solidFill>
          </w14:textFill>
        </w:rPr>
        <w:t>实行负面清单管理，确保农村产业发展用地。盘活乡村建设用地形成存量指标的10%以上，以及处置相应批而未供和闲置土地产生的“增存挂钩”新增指标的5%以上，保障乡村重点产业和项目用地。积极推进全域土地综合整治试点项目。规范开展城乡建设用地增减挂钩，完善挂钩节余指标调剂机制，挂钩节余指标收益全部返还项目区农村。根据乡村休闲观光等产业分散布局实际需要，探索灵活多样的供地方式。</w:t>
      </w:r>
      <w:r>
        <w:rPr>
          <w:rFonts w:hint="eastAsia" w:ascii="仿宋_GB2312" w:hAnsi="仿宋_GB2312" w:eastAsia="楷体_GB2312" w:cs="楷体_GB2312"/>
          <w:color w:val="000000" w:themeColor="text1"/>
          <w:sz w:val="32"/>
          <w:szCs w:val="24"/>
          <w:highlight w:val="none"/>
          <w14:textFill>
            <w14:solidFill>
              <w14:schemeClr w14:val="tx1"/>
            </w14:solidFill>
          </w14:textFill>
        </w:rPr>
        <w:t>（县自然资源和规划局负责）</w:t>
      </w:r>
    </w:p>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（三）强化资金保障。</w:t>
      </w:r>
      <w:r>
        <w:rPr>
          <w:rFonts w:ascii="仿宋_GB2312" w:hAnsi="仿宋_GB2312" w:eastAsia="仿宋_GB2312" w:cs="Times New Roman"/>
          <w:color w:val="000000" w:themeColor="text1"/>
          <w:sz w:val="32"/>
          <w:szCs w:val="24"/>
          <w:highlight w:val="none"/>
          <w14:textFill>
            <w14:solidFill>
              <w14:schemeClr w14:val="tx1"/>
            </w14:solidFill>
          </w14:textFill>
        </w:rPr>
        <w:t>加大财政、金融及社会等多方资本的投入力度，满足农业农村现代化进程的资金需求。坚持把农业农村作为各级财政支出的优先保障领域，加快建立投入稳定增长机制，稳步提高土地出让收入用于农业农村比例，确保到“十四五”末土地出让收入用于农业农村的比例达到10%以上。以推进普惠金融服务乡村振兴改革试验区建设试点为契机，鼓励和引导金融机构不断拓展“三农”业务，创新金融产品，加大农村信贷投入。引导互联网金融、移动金融在农村规范发展。支持涉农企业依托多层次资本市场融资，加大债券市场服务“三农”力度。加大涉农资金的整合力度，发挥财政投入对结构性改革的引导作用，撬动更多社会资金投入农业农村。</w:t>
      </w:r>
      <w:r>
        <w:rPr>
          <w:rFonts w:hint="eastAsia" w:ascii="仿宋_GB2312" w:hAnsi="仿宋_GB2312" w:eastAsia="楷体_GB2312" w:cs="楷体_GB2312"/>
          <w:color w:val="000000" w:themeColor="text1"/>
          <w:sz w:val="32"/>
          <w:szCs w:val="24"/>
          <w:highlight w:val="none"/>
          <w14:textFill>
            <w14:solidFill>
              <w14:schemeClr w14:val="tx1"/>
            </w14:solidFill>
          </w14:textFill>
        </w:rPr>
        <w:t>（县财政局、县地方金融发展服务中心牵头，县委农办、县农业农村局、县人民银行等配合）</w:t>
      </w:r>
    </w:p>
    <w:p>
      <w:pPr>
        <w:spacing w:line="600" w:lineRule="exact"/>
        <w:ind w:firstLine="640" w:firstLineChars="200"/>
        <w:rPr>
          <w:rFonts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（四）强化人才支撑。</w:t>
      </w:r>
      <w:r>
        <w:rPr>
          <w:rFonts w:ascii="仿宋_GB2312" w:hAnsi="仿宋_GB2312" w:eastAsia="仿宋_GB2312" w:cs="Times New Roman"/>
          <w:color w:val="000000" w:themeColor="text1"/>
          <w:sz w:val="32"/>
          <w:szCs w:val="24"/>
          <w:highlight w:val="none"/>
          <w14:textFill>
            <w14:solidFill>
              <w14:schemeClr w14:val="tx1"/>
            </w14:solidFill>
          </w14:textFill>
        </w:rPr>
        <w:t>大力实施“头雁”提升、“归雁”回巢、“鸿雁”培育、“雁阵”支撑的“四雁”工程，大力培育新农人，壮大乡村人才队伍，鼓励引导离退休人员回乡、成功人士和大学生返乡创新创业，落实政策措施，激发各类人才活力。加强与中国农科院、山东省农科院、</w:t>
      </w:r>
      <w:r>
        <w:rPr>
          <w:rFonts w:hint="eastAsia" w:ascii="仿宋_GB2312" w:hAnsi="仿宋_GB2312" w:eastAsia="仿宋_GB2312" w:cs="Times New Roman"/>
          <w:color w:val="000000" w:themeColor="text1"/>
          <w:sz w:val="32"/>
          <w:szCs w:val="24"/>
          <w:highlight w:val="none"/>
          <w14:textFill>
            <w14:solidFill>
              <w14:schemeClr w14:val="tx1"/>
            </w14:solidFill>
          </w14:textFill>
        </w:rPr>
        <w:t>南京</w:t>
      </w:r>
      <w:r>
        <w:rPr>
          <w:rFonts w:ascii="仿宋_GB2312" w:hAnsi="仿宋_GB2312" w:eastAsia="仿宋_GB2312" w:cs="Times New Roman"/>
          <w:color w:val="000000" w:themeColor="text1"/>
          <w:sz w:val="32"/>
          <w:szCs w:val="24"/>
          <w:highlight w:val="none"/>
          <w14:textFill>
            <w14:solidFill>
              <w14:schemeClr w14:val="tx1"/>
            </w14:solidFill>
          </w14:textFill>
        </w:rPr>
        <w:t>农业大学、临沂大学等科研院校的合作，建立健全科研人员校企、院企共建双聘机制。创新优化人才发展环境，加大现有人才培育力度，吸引临沂籍高层次人才柔性回归乡村。</w:t>
      </w:r>
      <w:r>
        <w:rPr>
          <w:rFonts w:hint="eastAsia" w:ascii="仿宋_GB2312" w:hAnsi="仿宋_GB2312" w:eastAsia="仿宋_GB2312" w:cs="Times New Roman"/>
          <w:color w:val="000000" w:themeColor="text1"/>
          <w:sz w:val="32"/>
          <w:szCs w:val="24"/>
          <w:highlight w:val="none"/>
          <w14:textFill>
            <w14:solidFill>
              <w14:schemeClr w14:val="tx1"/>
            </w14:solidFill>
          </w14:textFill>
        </w:rPr>
        <w:t>继续实施“古郯桑梓人才”计划，加大在外优秀人才回引力度。</w:t>
      </w:r>
      <w:r>
        <w:rPr>
          <w:rFonts w:ascii="仿宋_GB2312" w:hAnsi="仿宋_GB2312" w:eastAsia="仿宋_GB2312" w:cs="Times New Roman"/>
          <w:color w:val="000000" w:themeColor="text1"/>
          <w:sz w:val="32"/>
          <w:szCs w:val="24"/>
          <w:highlight w:val="none"/>
          <w14:textFill>
            <w14:solidFill>
              <w14:schemeClr w14:val="tx1"/>
            </w14:solidFill>
          </w14:textFill>
        </w:rPr>
        <w:t>激发人才创新创业新活力，推进人才发展体制机制改革，落实好基层专业技术人才职称评聘、创业扶持、待遇保障等措施，加快培育农村经济社会发展新动力。</w:t>
      </w:r>
      <w:r>
        <w:rPr>
          <w:rFonts w:hint="eastAsia" w:ascii="仿宋_GB2312" w:hAnsi="仿宋_GB2312" w:eastAsia="楷体_GB2312" w:cs="楷体_GB2312"/>
          <w:color w:val="000000" w:themeColor="text1"/>
          <w:sz w:val="32"/>
          <w:szCs w:val="24"/>
          <w:highlight w:val="none"/>
          <w14:textFill>
            <w14:solidFill>
              <w14:schemeClr w14:val="tx1"/>
            </w14:solidFill>
          </w14:textFill>
        </w:rPr>
        <w:t>（县委组织部、县农业农村局、县人社局牵头，县科技局、县教体局等配合）</w:t>
      </w:r>
    </w:p>
    <w:p>
      <w:pPr>
        <w:spacing w:line="600" w:lineRule="exact"/>
        <w:ind w:firstLine="640" w:firstLineChars="200"/>
        <w:rPr>
          <w:rFonts w:hint="eastAsia" w:ascii="仿宋_GB2312" w:hAnsi="仿宋_GB2312" w:eastAsia="楷体_GB2312" w:cs="楷体_GB2312"/>
          <w:color w:val="000000" w:themeColor="text1"/>
          <w:sz w:val="32"/>
          <w:szCs w:val="24"/>
          <w:highlight w:val="none"/>
          <w14:textFill>
            <w14:solidFill>
              <w14:schemeClr w14:val="tx1"/>
            </w14:solidFill>
          </w14:textFill>
        </w:rPr>
      </w:pPr>
      <w:r>
        <w:rPr>
          <w:rFonts w:hint="eastAsia" w:ascii="仿宋_GB2312" w:hAnsi="仿宋_GB2312" w:eastAsia="楷体_GB2312" w:cs="楷体_GB2312"/>
          <w:color w:val="000000" w:themeColor="text1"/>
          <w:sz w:val="32"/>
          <w:szCs w:val="24"/>
          <w:highlight w:val="none"/>
          <w14:textFill>
            <w14:solidFill>
              <w14:schemeClr w14:val="tx1"/>
            </w14:solidFill>
          </w14:textFill>
        </w:rPr>
        <w:t>（五）强化安全生产。</w:t>
      </w:r>
      <w:r>
        <w:rPr>
          <w:rFonts w:ascii="仿宋_GB2312" w:hAnsi="仿宋_GB2312" w:eastAsia="仿宋_GB2312" w:cs="Times New Roman"/>
          <w:color w:val="000000" w:themeColor="text1"/>
          <w:sz w:val="32"/>
          <w:szCs w:val="24"/>
          <w:highlight w:val="none"/>
          <w14:textFill>
            <w14:solidFill>
              <w14:schemeClr w14:val="tx1"/>
            </w14:solidFill>
          </w14:textFill>
        </w:rPr>
        <w:t>牢固树立责任意识、红线意识和底线思维，组织开展农业农村领域平安建设系列活动，健全完善安全生产制度和防控措施，按照“管行业必须管安全，管业务必须管安全，管生产经营必须管安全”原则，围绕渔船、农机、农药生产经营使用等重点领域和环节，搞好隐患排查，加强执法监管，确保农业农村安全生产形势平稳有序。</w:t>
      </w:r>
      <w:r>
        <w:rPr>
          <w:rFonts w:hint="eastAsia" w:ascii="仿宋_GB2312" w:hAnsi="仿宋_GB2312" w:eastAsia="楷体_GB2312" w:cs="楷体_GB2312"/>
          <w:color w:val="000000" w:themeColor="text1"/>
          <w:sz w:val="32"/>
          <w:szCs w:val="24"/>
          <w:highlight w:val="none"/>
          <w14:textFill>
            <w14:solidFill>
              <w14:schemeClr w14:val="tx1"/>
            </w14:solidFill>
          </w14:textFill>
        </w:rPr>
        <w:t>（县农业农村局、县应急管理局、县市场监督管理局等负责）</w:t>
      </w:r>
    </w:p>
    <w:p>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sectPr>
          <w:footerReference r:id="rId10" w:type="default"/>
          <w:pgSz w:w="11906" w:h="16838"/>
          <w:pgMar w:top="1701" w:right="1588" w:bottom="1588" w:left="1588" w:header="851" w:footer="992" w:gutter="0"/>
          <w:pgNumType w:fmt="numberInDash"/>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222222"/>
          <w:kern w:val="0"/>
          <w:sz w:val="36"/>
          <w:szCs w:val="36"/>
          <w:lang w:val="en-US" w:eastAsia="zh-CN" w:bidi="ar"/>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222222"/>
          <w:kern w:val="0"/>
          <w:sz w:val="36"/>
          <w:szCs w:val="36"/>
          <w:lang w:val="en-US" w:eastAsia="zh-CN" w:bidi="ar"/>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222222"/>
          <w:kern w:val="0"/>
          <w:sz w:val="36"/>
          <w:szCs w:val="36"/>
          <w:lang w:val="en-US" w:eastAsia="zh-CN" w:bidi="ar"/>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222222"/>
          <w:kern w:val="0"/>
          <w:sz w:val="36"/>
          <w:szCs w:val="36"/>
          <w:lang w:val="en-US" w:eastAsia="zh-CN" w:bidi="ar"/>
        </w:rPr>
      </w:pP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2"/>
          <w:szCs w:val="32"/>
          <w:lang w:val="en-US" w:eastAsia="zh-CN"/>
        </w:rPr>
        <w:t>郯政发〔2022〕7号</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eastAsia="方正小标宋简体"/>
          <w:spacing w:val="4"/>
          <w:sz w:val="44"/>
          <w:szCs w:val="44"/>
          <w:lang w:eastAsia="zh-CN"/>
        </w:rPr>
      </w:pPr>
      <w:r>
        <w:rPr>
          <w:rFonts w:hint="eastAsia" w:ascii="方正小标宋简体" w:hAnsi="方正小标宋简体" w:eastAsia="方正小标宋简体" w:cs="方正小标宋简体"/>
          <w:b w:val="0"/>
          <w:bCs/>
          <w:color w:val="222222"/>
          <w:kern w:val="0"/>
          <w:sz w:val="44"/>
          <w:szCs w:val="44"/>
          <w:lang w:val="en-US" w:eastAsia="zh-CN" w:bidi="ar"/>
        </w:rPr>
        <w:t>郯城县人民政府</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eastAsia="方正小标宋简体"/>
          <w:spacing w:val="4"/>
          <w:sz w:val="44"/>
          <w:szCs w:val="44"/>
          <w:lang w:eastAsia="zh-CN"/>
        </w:rPr>
      </w:pPr>
      <w:r>
        <w:rPr>
          <w:rFonts w:hint="eastAsia" w:eastAsia="方正小标宋简体"/>
          <w:spacing w:val="4"/>
          <w:sz w:val="44"/>
          <w:szCs w:val="44"/>
          <w:lang w:eastAsia="zh-CN"/>
        </w:rPr>
        <w:t>关于印发《郯城县</w:t>
      </w:r>
      <w:r>
        <w:rPr>
          <w:rFonts w:hint="eastAsia" w:eastAsia="方正小标宋简体"/>
          <w:spacing w:val="4"/>
          <w:sz w:val="44"/>
          <w:szCs w:val="44"/>
          <w:lang w:val="en-US" w:eastAsia="zh-CN"/>
        </w:rPr>
        <w:t>突发事件总体</w:t>
      </w:r>
      <w:r>
        <w:rPr>
          <w:rFonts w:hint="eastAsia" w:eastAsia="方正小标宋简体"/>
          <w:spacing w:val="4"/>
          <w:sz w:val="44"/>
          <w:szCs w:val="44"/>
          <w:lang w:eastAsia="zh-CN"/>
        </w:rPr>
        <w:t>应急预案》</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eastAsia="方正小标宋简体"/>
          <w:spacing w:val="4"/>
          <w:sz w:val="44"/>
          <w:szCs w:val="44"/>
          <w:lang w:eastAsia="zh-CN"/>
        </w:rPr>
      </w:pPr>
      <w:r>
        <w:rPr>
          <w:rFonts w:hint="eastAsia" w:eastAsia="方正小标宋简体"/>
          <w:spacing w:val="4"/>
          <w:sz w:val="44"/>
          <w:szCs w:val="44"/>
          <w:lang w:eastAsia="zh-CN"/>
        </w:rPr>
        <w:t>的通知</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600" w:lineRule="exact"/>
        <w:jc w:val="center"/>
        <w:textAlignment w:val="auto"/>
        <w:rPr>
          <w:rFonts w:hint="eastAsia" w:eastAsia="方正小标宋简体"/>
          <w:spacing w:val="4"/>
          <w:sz w:val="44"/>
          <w:szCs w:val="44"/>
          <w:lang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600" w:lineRule="exact"/>
        <w:ind w:left="0" w:leftChars="0" w:firstLine="0" w:firstLineChars="0"/>
        <w:jc w:val="left"/>
        <w:textAlignment w:val="auto"/>
        <w:rPr>
          <w:rFonts w:hint="eastAsia" w:ascii="Times New Roman" w:hAnsi="Times New Roman" w:eastAsia="仿宋_GB2312" w:cs="Times New Roman"/>
          <w:spacing w:val="-4"/>
          <w:kern w:val="2"/>
          <w:sz w:val="32"/>
          <w:szCs w:val="32"/>
          <w:lang w:val="en-US" w:eastAsia="zh-CN" w:bidi="ar-SA"/>
        </w:rPr>
      </w:pPr>
      <w:r>
        <w:rPr>
          <w:rFonts w:hint="eastAsia" w:ascii="Times New Roman" w:hAnsi="Times New Roman" w:eastAsia="仿宋_GB2312" w:cs="Times New Roman"/>
          <w:spacing w:val="-4"/>
          <w:kern w:val="2"/>
          <w:sz w:val="32"/>
          <w:szCs w:val="32"/>
          <w:lang w:val="en-US" w:eastAsia="zh-CN" w:bidi="ar-SA"/>
        </w:rPr>
        <w:t>各乡镇人民政府、郯城街道办事处，县政府各部门，科级以上事业单位，省、市直驻郯各单位，郯城经济开发区管委会，新村银杏产业开发区管委会，人武部：</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600" w:lineRule="exact"/>
        <w:ind w:left="0" w:leftChars="0" w:firstLine="624" w:firstLineChars="200"/>
        <w:jc w:val="left"/>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pacing w:val="-4"/>
          <w:kern w:val="2"/>
          <w:sz w:val="32"/>
          <w:szCs w:val="32"/>
          <w:lang w:val="en-US" w:eastAsia="zh-CN" w:bidi="ar-SA"/>
        </w:rPr>
        <w:t>新修订的《郯城县突发事件总体应急预案》已经县政府研究同意，现印发给你们，请认真遵照执行。</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sz w:val="32"/>
          <w:szCs w:val="32"/>
        </w:rPr>
      </w:pP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w:t>
      </w:r>
    </w:p>
    <w:p>
      <w:pPr>
        <w:pStyle w:val="6"/>
        <w:keepNext w:val="0"/>
        <w:keepLines w:val="0"/>
        <w:pageBreakBefore w:val="0"/>
        <w:widowControl w:val="0"/>
        <w:tabs>
          <w:tab w:val="left" w:pos="8241"/>
        </w:tabs>
        <w:kinsoku/>
        <w:wordWrap w:val="0"/>
        <w:overflowPunct/>
        <w:topLinePunct w:val="0"/>
        <w:autoSpaceDE/>
        <w:autoSpaceDN/>
        <w:bidi w:val="0"/>
        <w:adjustRightInd/>
        <w:snapToGrid/>
        <w:spacing w:after="0" w:line="600" w:lineRule="exact"/>
        <w:ind w:firstLine="640" w:firstLineChars="200"/>
        <w:jc w:val="center"/>
        <w:textAlignment w:val="auto"/>
        <w:rPr>
          <w:rFonts w:hint="eastAsia" w:ascii="Times New Roman" w:hAnsi="Times New Roman" w:eastAsia="仿宋_GB2312" w:cs="Times New Roman"/>
          <w:spacing w:val="-4"/>
          <w:kern w:val="2"/>
          <w:sz w:val="32"/>
          <w:szCs w:val="32"/>
          <w:lang w:val="en-US" w:eastAsia="zh-CN" w:bidi="ar-SA"/>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日</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600" w:lineRule="exact"/>
        <w:jc w:val="both"/>
        <w:textAlignment w:val="auto"/>
        <w:rPr>
          <w:rFonts w:hint="eastAsia" w:ascii="Times New Roman" w:hAnsi="Times New Roman" w:eastAsia="仿宋_GB2312" w:cs="Times New Roman"/>
          <w:spacing w:val="-4"/>
          <w:kern w:val="2"/>
          <w:sz w:val="32"/>
          <w:szCs w:val="32"/>
          <w:lang w:val="en-US" w:eastAsia="zh-CN" w:bidi="ar-SA"/>
        </w:rPr>
        <w:sectPr>
          <w:footerReference r:id="rId11" w:type="default"/>
          <w:pgSz w:w="11906" w:h="16838"/>
          <w:pgMar w:top="1814" w:right="1587" w:bottom="1701" w:left="1587" w:header="851" w:footer="1361" w:gutter="0"/>
          <w:pgNumType w:fmt="numberInDash"/>
          <w:cols w:space="720" w:num="1"/>
          <w:formProt w:val="0"/>
          <w:docGrid w:type="lines" w:linePitch="573" w:charSpace="-1843"/>
        </w:sectPr>
      </w:pPr>
      <w:r>
        <w:rPr>
          <w:rFonts w:hint="eastAsia" w:ascii="Times New Roman" w:hAnsi="Times New Roman" w:eastAsia="仿宋_GB2312" w:cs="Times New Roman"/>
          <w:spacing w:val="-4"/>
          <w:kern w:val="2"/>
          <w:sz w:val="32"/>
          <w:szCs w:val="32"/>
          <w:lang w:val="en-US" w:eastAsia="zh-CN" w:bidi="ar-SA"/>
        </w:rPr>
        <w:t>（此件主动公开）</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624" w:firstLineChars="200"/>
        <w:jc w:val="center"/>
        <w:textAlignment w:val="auto"/>
        <w:rPr>
          <w:rFonts w:hint="eastAsia"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left="0" w:leftChars="0" w:firstLine="0" w:firstLineChars="0"/>
        <w:jc w:val="center"/>
        <w:textAlignment w:val="auto"/>
        <w:rPr>
          <w:rFonts w:eastAsia="方正小标宋简体"/>
          <w:spacing w:val="4"/>
          <w:sz w:val="44"/>
          <w:szCs w:val="44"/>
        </w:rPr>
      </w:pPr>
      <w:r>
        <w:rPr>
          <w:rFonts w:hint="eastAsia" w:eastAsia="方正小标宋简体"/>
          <w:spacing w:val="4"/>
          <w:sz w:val="44"/>
          <w:szCs w:val="44"/>
          <w:lang w:eastAsia="zh-CN"/>
        </w:rPr>
        <w:t>郯城县</w:t>
      </w:r>
      <w:r>
        <w:rPr>
          <w:rFonts w:hint="eastAsia" w:eastAsia="方正小标宋简体"/>
          <w:spacing w:val="4"/>
          <w:sz w:val="44"/>
          <w:szCs w:val="44"/>
          <w:lang w:val="en-US" w:eastAsia="zh-CN"/>
        </w:rPr>
        <w:t>突发事件总体</w:t>
      </w:r>
      <w:r>
        <w:rPr>
          <w:rFonts w:hint="eastAsia" w:eastAsia="方正小标宋简体"/>
          <w:spacing w:val="4"/>
          <w:sz w:val="44"/>
          <w:szCs w:val="44"/>
          <w:lang w:eastAsia="zh-CN"/>
        </w:rPr>
        <w:t>应急预案</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624" w:firstLineChars="200"/>
        <w:jc w:val="center"/>
        <w:textAlignment w:val="auto"/>
        <w:rPr>
          <w:rFonts w:hint="eastAsia"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624" w:firstLineChars="200"/>
        <w:jc w:val="center"/>
        <w:textAlignment w:val="auto"/>
        <w:rPr>
          <w:rFonts w:hint="eastAsia"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624" w:firstLineChars="200"/>
        <w:jc w:val="center"/>
        <w:textAlignment w:val="auto"/>
        <w:rPr>
          <w:rFonts w:hint="eastAsia"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624" w:firstLineChars="200"/>
        <w:jc w:val="center"/>
        <w:textAlignment w:val="auto"/>
        <w:rPr>
          <w:rFonts w:hint="eastAsia"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624" w:firstLineChars="200"/>
        <w:jc w:val="center"/>
        <w:textAlignment w:val="auto"/>
        <w:rPr>
          <w:rFonts w:hint="eastAsia"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ascii="Times New Roman" w:hAnsi="Times New Roman" w:eastAsia="仿宋_GB2312" w:cs="Times New Roman"/>
          <w:spacing w:val="-4"/>
          <w:kern w:val="2"/>
          <w:sz w:val="32"/>
          <w:szCs w:val="32"/>
          <w:lang w:val="en-US" w:eastAsia="zh-CN" w:bidi="ar-SA"/>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left="0" w:leftChars="0" w:firstLine="0" w:firstLineChars="0"/>
        <w:jc w:val="center"/>
        <w:textAlignment w:val="auto"/>
        <w:rPr>
          <w:rFonts w:hint="eastAsia" w:eastAsia="仿宋_GB2312" w:cs="Times New Roman"/>
          <w:spacing w:val="-4"/>
          <w:kern w:val="2"/>
          <w:sz w:val="32"/>
          <w:szCs w:val="32"/>
          <w:lang w:val="en-US" w:eastAsia="zh-CN" w:bidi="ar-SA"/>
        </w:rPr>
      </w:pPr>
      <w:r>
        <w:rPr>
          <w:rFonts w:hint="eastAsia" w:eastAsia="仿宋_GB2312" w:cs="Times New Roman"/>
          <w:spacing w:val="-4"/>
          <w:kern w:val="2"/>
          <w:sz w:val="32"/>
          <w:szCs w:val="32"/>
          <w:lang w:val="en-US" w:eastAsia="zh-CN" w:bidi="ar-SA"/>
        </w:rPr>
        <w:t xml:space="preserve">      </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eastAsia="仿宋_GB2312" w:cs="Times New Roman"/>
          <w:spacing w:val="-4"/>
          <w:kern w:val="2"/>
          <w:sz w:val="32"/>
          <w:szCs w:val="32"/>
          <w:lang w:val="en-US" w:eastAsia="zh-CN" w:bidi="ar-SA"/>
        </w:rPr>
      </w:pPr>
      <w:r>
        <w:rPr>
          <w:rFonts w:hint="eastAsia" w:eastAsia="仿宋_GB2312" w:cs="Times New Roman"/>
          <w:spacing w:val="-4"/>
          <w:kern w:val="2"/>
          <w:sz w:val="32"/>
          <w:szCs w:val="32"/>
          <w:lang w:val="en-US" w:eastAsia="zh-CN" w:bidi="ar-SA"/>
        </w:rPr>
        <w:t xml:space="preserve">      </w:t>
      </w: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ind w:firstLine="896" w:firstLineChars="200"/>
        <w:jc w:val="center"/>
        <w:textAlignment w:val="auto"/>
        <w:rPr>
          <w:rFonts w:hint="eastAsia" w:ascii="Times New Roman" w:hAnsi="Times New Roman" w:eastAsia="方正小标宋简体" w:cs="Times New Roman"/>
          <w:spacing w:val="4"/>
          <w:sz w:val="44"/>
          <w:szCs w:val="44"/>
          <w:lang w:val="en-US" w:eastAsia="zh-CN"/>
        </w:rPr>
      </w:pPr>
    </w:p>
    <w:p>
      <w:pPr>
        <w:pStyle w:val="6"/>
        <w:keepNext w:val="0"/>
        <w:keepLines w:val="0"/>
        <w:pageBreakBefore w:val="0"/>
        <w:widowControl w:val="0"/>
        <w:tabs>
          <w:tab w:val="left" w:pos="8241"/>
        </w:tabs>
        <w:kinsoku/>
        <w:wordWrap/>
        <w:overflowPunct/>
        <w:topLinePunct w:val="0"/>
        <w:autoSpaceDE/>
        <w:autoSpaceDN/>
        <w:bidi w:val="0"/>
        <w:adjustRightInd/>
        <w:snapToGrid/>
        <w:spacing w:after="0" w:line="560" w:lineRule="exact"/>
        <w:jc w:val="center"/>
        <w:textAlignment w:val="auto"/>
        <w:rPr>
          <w:rFonts w:hint="eastAsia" w:ascii="Times New Roman" w:hAnsi="Times New Roman" w:eastAsia="方正小标宋简体" w:cs="Times New Roman"/>
          <w:spacing w:val="4"/>
          <w:sz w:val="44"/>
          <w:szCs w:val="44"/>
          <w:lang w:val="en-US" w:eastAsia="zh-CN"/>
        </w:rPr>
        <w:sectPr>
          <w:footerReference r:id="rId12" w:type="default"/>
          <w:pgSz w:w="11906" w:h="16838"/>
          <w:pgMar w:top="1701" w:right="1588" w:bottom="1587" w:left="1588" w:header="851" w:footer="1361" w:gutter="0"/>
          <w:pgNumType w:fmt="numberInDash"/>
          <w:cols w:space="720" w:num="1"/>
          <w:formProt w:val="0"/>
          <w:docGrid w:type="lines" w:linePitch="573" w:charSpace="-1843"/>
        </w:sectPr>
      </w:pPr>
      <w:r>
        <w:rPr>
          <w:rFonts w:hint="eastAsia" w:ascii="Times New Roman" w:hAnsi="Times New Roman" w:eastAsia="方正小标宋简体" w:cs="Times New Roman"/>
          <w:spacing w:val="4"/>
          <w:sz w:val="44"/>
          <w:szCs w:val="44"/>
          <w:lang w:val="en-US" w:eastAsia="zh-CN"/>
        </w:rPr>
        <w:t>二〇二二年</w:t>
      </w:r>
      <w:r>
        <w:rPr>
          <w:rFonts w:hint="eastAsia" w:eastAsia="方正小标宋简体" w:cs="Times New Roman"/>
          <w:spacing w:val="4"/>
          <w:sz w:val="44"/>
          <w:szCs w:val="44"/>
          <w:lang w:val="en-US" w:eastAsia="zh-CN"/>
        </w:rPr>
        <w:t>十</w:t>
      </w:r>
      <w:r>
        <w:rPr>
          <w:rFonts w:hint="eastAsia" w:ascii="Times New Roman" w:hAnsi="Times New Roman" w:eastAsia="方正小标宋简体" w:cs="Times New Roman"/>
          <w:spacing w:val="4"/>
          <w:sz w:val="44"/>
          <w:szCs w:val="44"/>
          <w:lang w:val="en-US" w:eastAsia="zh-CN"/>
        </w:rPr>
        <w:t>月</w:t>
      </w:r>
    </w:p>
    <w:p>
      <w:pPr>
        <w:rPr>
          <w:rStyle w:val="21"/>
          <w:rFonts w:eastAsia="方正小标宋简体"/>
          <w:b w:val="0"/>
          <w:color w:val="000000" w:themeColor="text1"/>
          <w:kern w:val="0"/>
          <w:sz w:val="44"/>
          <w:szCs w:val="44"/>
          <w:shd w:val="clear" w:color="auto" w:fill="FFFFFF"/>
          <w14:textFill>
            <w14:solidFill>
              <w14:schemeClr w14:val="tx1"/>
            </w14:solidFill>
          </w14:textFill>
        </w:rPr>
      </w:pPr>
    </w:p>
    <w:sdt>
      <w:sdtPr>
        <w:rPr>
          <w:rFonts w:eastAsia="方正小标宋简体"/>
          <w:color w:val="000000" w:themeColor="text1"/>
          <w:sz w:val="36"/>
          <w:szCs w:val="36"/>
          <w14:textFill>
            <w14:solidFill>
              <w14:schemeClr w14:val="tx1"/>
            </w14:solidFill>
          </w14:textFill>
        </w:rPr>
        <w:id w:val="147466588"/>
        <w:docPartObj>
          <w:docPartGallery w:val="Table of Contents"/>
          <w:docPartUnique/>
        </w:docPartObj>
      </w:sdtPr>
      <w:sdtEndPr>
        <w:rPr>
          <w:rFonts w:eastAsia="方正小标宋简体"/>
          <w:color w:val="000000" w:themeColor="text1"/>
          <w:sz w:val="36"/>
          <w:szCs w:val="36"/>
          <w14:textFill>
            <w14:solidFill>
              <w14:schemeClr w14:val="tx1"/>
            </w14:solidFill>
          </w14:textFill>
        </w:rPr>
      </w:sdtEndPr>
      <w:sdtContent>
        <w:p>
          <w:pPr>
            <w:jc w:val="center"/>
            <w:rPr>
              <w:rFonts w:eastAsia="方正小标宋简体"/>
              <w:color w:val="000000" w:themeColor="text1"/>
              <w:sz w:val="36"/>
              <w:szCs w:val="36"/>
              <w14:textFill>
                <w14:solidFill>
                  <w14:schemeClr w14:val="tx1"/>
                </w14:solidFill>
              </w14:textFill>
            </w:rPr>
          </w:pPr>
          <w:r>
            <w:rPr>
              <w:rFonts w:eastAsia="方正小标宋简体"/>
              <w:color w:val="000000" w:themeColor="text1"/>
              <w:sz w:val="36"/>
              <w:szCs w:val="36"/>
              <w14:textFill>
                <w14:solidFill>
                  <w14:schemeClr w14:val="tx1"/>
                </w14:solidFill>
              </w14:textFill>
            </w:rPr>
            <w:t>目  录</w:t>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"1-1" \h \u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fldChar w:fldCharType="begin"/>
          </w:r>
          <w:r>
            <w:rPr>
              <w:sz w:val="28"/>
              <w:szCs w:val="28"/>
            </w:rPr>
            <w:instrText xml:space="preserve"> HYPERLINK \l _Toc10243 </w:instrText>
          </w:r>
          <w:r>
            <w:rPr>
              <w:sz w:val="28"/>
              <w:szCs w:val="28"/>
            </w:rPr>
            <w:fldChar w:fldCharType="separate"/>
          </w:r>
          <w:r>
            <w:rPr>
              <w:rFonts w:eastAsia="黑体"/>
              <w:sz w:val="28"/>
              <w:szCs w:val="28"/>
            </w:rPr>
            <w:t>1  总则</w:t>
          </w:r>
          <w:r>
            <w:rPr>
              <w:sz w:val="28"/>
              <w:szCs w:val="28"/>
            </w:rPr>
            <w:tab/>
          </w:r>
          <w:r>
            <w:rPr>
              <w:sz w:val="28"/>
              <w:szCs w:val="28"/>
            </w:rPr>
            <w:fldChar w:fldCharType="begin"/>
          </w:r>
          <w:r>
            <w:rPr>
              <w:sz w:val="28"/>
              <w:szCs w:val="28"/>
            </w:rPr>
            <w:instrText xml:space="preserve"> PAGEREF _Toc10243 \h </w:instrText>
          </w:r>
          <w:r>
            <w:rPr>
              <w:sz w:val="28"/>
              <w:szCs w:val="28"/>
            </w:rPr>
            <w:fldChar w:fldCharType="separate"/>
          </w:r>
          <w:r>
            <w:rPr>
              <w:sz w:val="28"/>
              <w:szCs w:val="28"/>
            </w:rPr>
            <w:t>- 48 -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_Toc11863 </w:instrText>
          </w:r>
          <w:r>
            <w:rPr>
              <w:sz w:val="28"/>
              <w:szCs w:val="28"/>
            </w:rPr>
            <w:fldChar w:fldCharType="separate"/>
          </w:r>
          <w:r>
            <w:rPr>
              <w:rFonts w:eastAsia="楷体_GB2312"/>
              <w:kern w:val="0"/>
              <w:sz w:val="28"/>
              <w:szCs w:val="28"/>
            </w:rPr>
            <w:t>1.1编制依据</w:t>
          </w:r>
          <w:r>
            <w:rPr>
              <w:sz w:val="28"/>
              <w:szCs w:val="28"/>
            </w:rPr>
            <w:tab/>
          </w:r>
          <w:r>
            <w:rPr>
              <w:sz w:val="28"/>
              <w:szCs w:val="28"/>
            </w:rPr>
            <w:fldChar w:fldCharType="begin"/>
          </w:r>
          <w:r>
            <w:rPr>
              <w:sz w:val="28"/>
              <w:szCs w:val="28"/>
            </w:rPr>
            <w:instrText xml:space="preserve"> PAGEREF _Toc11863 \h </w:instrText>
          </w:r>
          <w:r>
            <w:rPr>
              <w:sz w:val="28"/>
              <w:szCs w:val="28"/>
            </w:rPr>
            <w:fldChar w:fldCharType="separate"/>
          </w:r>
          <w:r>
            <w:rPr>
              <w:sz w:val="28"/>
              <w:szCs w:val="28"/>
            </w:rPr>
            <w:t>- 48 -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_Toc23726 </w:instrText>
          </w:r>
          <w:r>
            <w:rPr>
              <w:sz w:val="28"/>
              <w:szCs w:val="28"/>
            </w:rPr>
            <w:fldChar w:fldCharType="separate"/>
          </w:r>
          <w:r>
            <w:rPr>
              <w:rFonts w:eastAsia="楷体_GB2312"/>
              <w:kern w:val="0"/>
              <w:sz w:val="28"/>
              <w:szCs w:val="28"/>
            </w:rPr>
            <w:t>1.2 适用范围</w:t>
          </w:r>
          <w:r>
            <w:rPr>
              <w:sz w:val="28"/>
              <w:szCs w:val="28"/>
            </w:rPr>
            <w:tab/>
          </w:r>
          <w:r>
            <w:rPr>
              <w:sz w:val="28"/>
              <w:szCs w:val="28"/>
            </w:rPr>
            <w:fldChar w:fldCharType="begin"/>
          </w:r>
          <w:r>
            <w:rPr>
              <w:sz w:val="28"/>
              <w:szCs w:val="28"/>
            </w:rPr>
            <w:instrText xml:space="preserve"> PAGEREF _Toc23726 \h </w:instrText>
          </w:r>
          <w:r>
            <w:rPr>
              <w:sz w:val="28"/>
              <w:szCs w:val="28"/>
            </w:rPr>
            <w:fldChar w:fldCharType="separate"/>
          </w:r>
          <w:r>
            <w:rPr>
              <w:sz w:val="28"/>
              <w:szCs w:val="28"/>
            </w:rPr>
            <w:t>- 48 -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_Toc18596 </w:instrText>
          </w:r>
          <w:r>
            <w:rPr>
              <w:sz w:val="28"/>
              <w:szCs w:val="28"/>
            </w:rPr>
            <w:fldChar w:fldCharType="separate"/>
          </w:r>
          <w:r>
            <w:rPr>
              <w:rFonts w:eastAsia="楷体_GB2312"/>
              <w:sz w:val="28"/>
              <w:szCs w:val="28"/>
            </w:rPr>
            <w:t>1.3 工作原则</w:t>
          </w:r>
          <w:r>
            <w:rPr>
              <w:sz w:val="28"/>
              <w:szCs w:val="28"/>
            </w:rPr>
            <w:tab/>
          </w:r>
          <w:r>
            <w:rPr>
              <w:sz w:val="28"/>
              <w:szCs w:val="28"/>
            </w:rPr>
            <w:fldChar w:fldCharType="begin"/>
          </w:r>
          <w:r>
            <w:rPr>
              <w:sz w:val="28"/>
              <w:szCs w:val="28"/>
            </w:rPr>
            <w:instrText xml:space="preserve"> PAGEREF _Toc18596 \h </w:instrText>
          </w:r>
          <w:r>
            <w:rPr>
              <w:sz w:val="28"/>
              <w:szCs w:val="28"/>
            </w:rPr>
            <w:fldChar w:fldCharType="separate"/>
          </w:r>
          <w:r>
            <w:rPr>
              <w:sz w:val="28"/>
              <w:szCs w:val="28"/>
            </w:rPr>
            <w:t>- 48 -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_Toc12034 </w:instrText>
          </w:r>
          <w:r>
            <w:rPr>
              <w:sz w:val="28"/>
              <w:szCs w:val="28"/>
            </w:rPr>
            <w:fldChar w:fldCharType="separate"/>
          </w:r>
          <w:r>
            <w:rPr>
              <w:rFonts w:eastAsia="楷体_GB2312"/>
              <w:sz w:val="28"/>
              <w:szCs w:val="28"/>
            </w:rPr>
            <w:t>1.4 事件分类分级</w:t>
          </w:r>
          <w:r>
            <w:rPr>
              <w:sz w:val="28"/>
              <w:szCs w:val="28"/>
            </w:rPr>
            <w:tab/>
          </w:r>
          <w:r>
            <w:rPr>
              <w:sz w:val="28"/>
              <w:szCs w:val="28"/>
            </w:rPr>
            <w:fldChar w:fldCharType="begin"/>
          </w:r>
          <w:r>
            <w:rPr>
              <w:sz w:val="28"/>
              <w:szCs w:val="28"/>
            </w:rPr>
            <w:instrText xml:space="preserve"> PAGEREF _Toc12034 \h </w:instrText>
          </w:r>
          <w:r>
            <w:rPr>
              <w:sz w:val="28"/>
              <w:szCs w:val="28"/>
            </w:rPr>
            <w:fldChar w:fldCharType="separate"/>
          </w:r>
          <w:r>
            <w:rPr>
              <w:sz w:val="28"/>
              <w:szCs w:val="28"/>
            </w:rPr>
            <w:t>- 48 -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_Toc3986 </w:instrText>
          </w:r>
          <w:r>
            <w:rPr>
              <w:sz w:val="28"/>
              <w:szCs w:val="28"/>
            </w:rPr>
            <w:fldChar w:fldCharType="separate"/>
          </w:r>
          <w:r>
            <w:rPr>
              <w:rFonts w:eastAsia="楷体_GB2312"/>
              <w:sz w:val="28"/>
              <w:szCs w:val="28"/>
            </w:rPr>
            <w:t>1.5 分级应对</w:t>
          </w:r>
          <w:r>
            <w:rPr>
              <w:sz w:val="28"/>
              <w:szCs w:val="28"/>
            </w:rPr>
            <w:tab/>
          </w:r>
          <w:r>
            <w:rPr>
              <w:sz w:val="28"/>
              <w:szCs w:val="28"/>
            </w:rPr>
            <w:fldChar w:fldCharType="begin"/>
          </w:r>
          <w:r>
            <w:rPr>
              <w:sz w:val="28"/>
              <w:szCs w:val="28"/>
            </w:rPr>
            <w:instrText xml:space="preserve"> PAGEREF _Toc3986 \h </w:instrText>
          </w:r>
          <w:r>
            <w:rPr>
              <w:sz w:val="28"/>
              <w:szCs w:val="28"/>
            </w:rPr>
            <w:fldChar w:fldCharType="separate"/>
          </w:r>
          <w:r>
            <w:rPr>
              <w:sz w:val="28"/>
              <w:szCs w:val="28"/>
            </w:rPr>
            <w:t>- 49 -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_Toc15251 </w:instrText>
          </w:r>
          <w:r>
            <w:rPr>
              <w:sz w:val="28"/>
              <w:szCs w:val="28"/>
            </w:rPr>
            <w:fldChar w:fldCharType="separate"/>
          </w:r>
          <w:r>
            <w:rPr>
              <w:rFonts w:eastAsia="楷体_GB2312"/>
              <w:sz w:val="28"/>
              <w:szCs w:val="28"/>
            </w:rPr>
            <w:t>1.6 响应分级</w:t>
          </w:r>
          <w:r>
            <w:rPr>
              <w:sz w:val="28"/>
              <w:szCs w:val="28"/>
            </w:rPr>
            <w:tab/>
          </w:r>
          <w:r>
            <w:rPr>
              <w:sz w:val="28"/>
              <w:szCs w:val="28"/>
            </w:rPr>
            <w:fldChar w:fldCharType="begin"/>
          </w:r>
          <w:r>
            <w:rPr>
              <w:sz w:val="28"/>
              <w:szCs w:val="28"/>
            </w:rPr>
            <w:instrText xml:space="preserve"> PAGEREF _Toc15251 \h </w:instrText>
          </w:r>
          <w:r>
            <w:rPr>
              <w:sz w:val="28"/>
              <w:szCs w:val="28"/>
            </w:rPr>
            <w:fldChar w:fldCharType="separate"/>
          </w:r>
          <w:r>
            <w:rPr>
              <w:sz w:val="28"/>
              <w:szCs w:val="28"/>
            </w:rPr>
            <w:t>- 50 -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_Toc29806 </w:instrText>
          </w:r>
          <w:r>
            <w:rPr>
              <w:sz w:val="28"/>
              <w:szCs w:val="28"/>
            </w:rPr>
            <w:fldChar w:fldCharType="separate"/>
          </w:r>
          <w:r>
            <w:rPr>
              <w:rFonts w:eastAsia="黑体"/>
              <w:sz w:val="28"/>
              <w:szCs w:val="28"/>
            </w:rPr>
            <w:t>2  应急预案体系</w:t>
          </w:r>
          <w:r>
            <w:rPr>
              <w:sz w:val="28"/>
              <w:szCs w:val="28"/>
            </w:rPr>
            <w:tab/>
          </w:r>
          <w:r>
            <w:rPr>
              <w:sz w:val="28"/>
              <w:szCs w:val="28"/>
            </w:rPr>
            <w:fldChar w:fldCharType="begin"/>
          </w:r>
          <w:r>
            <w:rPr>
              <w:sz w:val="28"/>
              <w:szCs w:val="28"/>
            </w:rPr>
            <w:instrText xml:space="preserve"> PAGEREF _Toc29806 \h </w:instrText>
          </w:r>
          <w:r>
            <w:rPr>
              <w:sz w:val="28"/>
              <w:szCs w:val="28"/>
            </w:rPr>
            <w:fldChar w:fldCharType="separate"/>
          </w:r>
          <w:r>
            <w:rPr>
              <w:sz w:val="28"/>
              <w:szCs w:val="28"/>
            </w:rPr>
            <w:t>- 51 -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_Toc24949 </w:instrText>
          </w:r>
          <w:r>
            <w:rPr>
              <w:sz w:val="28"/>
              <w:szCs w:val="28"/>
            </w:rPr>
            <w:fldChar w:fldCharType="separate"/>
          </w:r>
          <w:r>
            <w:rPr>
              <w:rFonts w:eastAsia="楷体_GB2312"/>
              <w:sz w:val="28"/>
              <w:szCs w:val="28"/>
            </w:rPr>
            <w:t>2.1  应急预案</w:t>
          </w:r>
          <w:r>
            <w:rPr>
              <w:sz w:val="28"/>
              <w:szCs w:val="28"/>
            </w:rPr>
            <w:tab/>
          </w:r>
          <w:r>
            <w:rPr>
              <w:sz w:val="28"/>
              <w:szCs w:val="28"/>
            </w:rPr>
            <w:fldChar w:fldCharType="begin"/>
          </w:r>
          <w:r>
            <w:rPr>
              <w:sz w:val="28"/>
              <w:szCs w:val="28"/>
            </w:rPr>
            <w:instrText xml:space="preserve"> PAGEREF _Toc24949 \h </w:instrText>
          </w:r>
          <w:r>
            <w:rPr>
              <w:sz w:val="28"/>
              <w:szCs w:val="28"/>
            </w:rPr>
            <w:fldChar w:fldCharType="separate"/>
          </w:r>
          <w:r>
            <w:rPr>
              <w:sz w:val="28"/>
              <w:szCs w:val="28"/>
            </w:rPr>
            <w:t>- 51 -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_Toc10507 </w:instrText>
          </w:r>
          <w:r>
            <w:rPr>
              <w:sz w:val="28"/>
              <w:szCs w:val="28"/>
            </w:rPr>
            <w:fldChar w:fldCharType="separate"/>
          </w:r>
          <w:r>
            <w:rPr>
              <w:rFonts w:eastAsia="楷体_GB2312"/>
              <w:sz w:val="28"/>
              <w:szCs w:val="28"/>
            </w:rPr>
            <w:t>2.2  应急预案支撑文件</w:t>
          </w:r>
          <w:r>
            <w:rPr>
              <w:sz w:val="28"/>
              <w:szCs w:val="28"/>
            </w:rPr>
            <w:tab/>
          </w:r>
          <w:r>
            <w:rPr>
              <w:sz w:val="28"/>
              <w:szCs w:val="28"/>
            </w:rPr>
            <w:fldChar w:fldCharType="begin"/>
          </w:r>
          <w:r>
            <w:rPr>
              <w:sz w:val="28"/>
              <w:szCs w:val="28"/>
            </w:rPr>
            <w:instrText xml:space="preserve"> PAGEREF _Toc10507 \h </w:instrText>
          </w:r>
          <w:r>
            <w:rPr>
              <w:sz w:val="28"/>
              <w:szCs w:val="28"/>
            </w:rPr>
            <w:fldChar w:fldCharType="separate"/>
          </w:r>
          <w:r>
            <w:rPr>
              <w:sz w:val="28"/>
              <w:szCs w:val="28"/>
            </w:rPr>
            <w:t>- 53 -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_Toc26102 </w:instrText>
          </w:r>
          <w:r>
            <w:rPr>
              <w:sz w:val="28"/>
              <w:szCs w:val="28"/>
            </w:rPr>
            <w:fldChar w:fldCharType="separate"/>
          </w:r>
          <w:r>
            <w:rPr>
              <w:rFonts w:eastAsia="黑体"/>
              <w:sz w:val="28"/>
              <w:szCs w:val="28"/>
            </w:rPr>
            <w:t>3  组织指挥体系</w:t>
          </w:r>
          <w:r>
            <w:rPr>
              <w:sz w:val="28"/>
              <w:szCs w:val="28"/>
            </w:rPr>
            <w:tab/>
          </w:r>
          <w:r>
            <w:rPr>
              <w:sz w:val="28"/>
              <w:szCs w:val="28"/>
            </w:rPr>
            <w:fldChar w:fldCharType="begin"/>
          </w:r>
          <w:r>
            <w:rPr>
              <w:sz w:val="28"/>
              <w:szCs w:val="28"/>
            </w:rPr>
            <w:instrText xml:space="preserve"> PAGEREF _Toc26102 \h </w:instrText>
          </w:r>
          <w:r>
            <w:rPr>
              <w:sz w:val="28"/>
              <w:szCs w:val="28"/>
            </w:rPr>
            <w:fldChar w:fldCharType="separate"/>
          </w:r>
          <w:r>
            <w:rPr>
              <w:sz w:val="28"/>
              <w:szCs w:val="28"/>
            </w:rPr>
            <w:t>- 53 -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_Toc29987 </w:instrText>
          </w:r>
          <w:r>
            <w:rPr>
              <w:sz w:val="28"/>
              <w:szCs w:val="28"/>
            </w:rPr>
            <w:fldChar w:fldCharType="separate"/>
          </w:r>
          <w:r>
            <w:rPr>
              <w:rFonts w:eastAsia="楷体_GB2312"/>
              <w:sz w:val="28"/>
              <w:szCs w:val="28"/>
            </w:rPr>
            <w:t>3.1县级领导机制</w:t>
          </w:r>
          <w:r>
            <w:rPr>
              <w:sz w:val="28"/>
              <w:szCs w:val="28"/>
            </w:rPr>
            <w:tab/>
          </w:r>
          <w:r>
            <w:rPr>
              <w:sz w:val="28"/>
              <w:szCs w:val="28"/>
            </w:rPr>
            <w:fldChar w:fldCharType="begin"/>
          </w:r>
          <w:r>
            <w:rPr>
              <w:sz w:val="28"/>
              <w:szCs w:val="28"/>
            </w:rPr>
            <w:instrText xml:space="preserve"> PAGEREF _Toc29987 \h </w:instrText>
          </w:r>
          <w:r>
            <w:rPr>
              <w:sz w:val="28"/>
              <w:szCs w:val="28"/>
            </w:rPr>
            <w:fldChar w:fldCharType="separate"/>
          </w:r>
          <w:r>
            <w:rPr>
              <w:sz w:val="28"/>
              <w:szCs w:val="28"/>
            </w:rPr>
            <w:t>- 53 -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_Toc13058 </w:instrText>
          </w:r>
          <w:r>
            <w:rPr>
              <w:sz w:val="28"/>
              <w:szCs w:val="28"/>
            </w:rPr>
            <w:fldChar w:fldCharType="separate"/>
          </w:r>
          <w:r>
            <w:rPr>
              <w:rFonts w:eastAsia="楷体_GB2312"/>
              <w:sz w:val="28"/>
              <w:szCs w:val="28"/>
            </w:rPr>
            <w:t>3.2县级专项应急指挥机构（机制）</w:t>
          </w:r>
          <w:r>
            <w:rPr>
              <w:sz w:val="28"/>
              <w:szCs w:val="28"/>
            </w:rPr>
            <w:tab/>
          </w:r>
          <w:r>
            <w:rPr>
              <w:sz w:val="28"/>
              <w:szCs w:val="28"/>
            </w:rPr>
            <w:fldChar w:fldCharType="begin"/>
          </w:r>
          <w:r>
            <w:rPr>
              <w:sz w:val="28"/>
              <w:szCs w:val="28"/>
            </w:rPr>
            <w:instrText xml:space="preserve"> PAGEREF _Toc13058 \h </w:instrText>
          </w:r>
          <w:r>
            <w:rPr>
              <w:sz w:val="28"/>
              <w:szCs w:val="28"/>
            </w:rPr>
            <w:fldChar w:fldCharType="separate"/>
          </w:r>
          <w:r>
            <w:rPr>
              <w:sz w:val="28"/>
              <w:szCs w:val="28"/>
            </w:rPr>
            <w:t>- 54 -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_Toc16288 </w:instrText>
          </w:r>
          <w:r>
            <w:rPr>
              <w:sz w:val="28"/>
              <w:szCs w:val="28"/>
            </w:rPr>
            <w:fldChar w:fldCharType="separate"/>
          </w:r>
          <w:r>
            <w:rPr>
              <w:rFonts w:eastAsia="楷体_GB2312"/>
              <w:sz w:val="28"/>
              <w:szCs w:val="28"/>
            </w:rPr>
            <w:t>3.3  县级工作机构</w:t>
          </w:r>
          <w:r>
            <w:rPr>
              <w:sz w:val="28"/>
              <w:szCs w:val="28"/>
            </w:rPr>
            <w:tab/>
          </w:r>
          <w:r>
            <w:rPr>
              <w:sz w:val="28"/>
              <w:szCs w:val="28"/>
            </w:rPr>
            <w:fldChar w:fldCharType="begin"/>
          </w:r>
          <w:r>
            <w:rPr>
              <w:sz w:val="28"/>
              <w:szCs w:val="28"/>
            </w:rPr>
            <w:instrText xml:space="preserve"> PAGEREF _Toc16288 \h </w:instrText>
          </w:r>
          <w:r>
            <w:rPr>
              <w:sz w:val="28"/>
              <w:szCs w:val="28"/>
            </w:rPr>
            <w:fldChar w:fldCharType="separate"/>
          </w:r>
          <w:r>
            <w:rPr>
              <w:sz w:val="28"/>
              <w:szCs w:val="28"/>
            </w:rPr>
            <w:t>- 54 -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_Toc28103 </w:instrText>
          </w:r>
          <w:r>
            <w:rPr>
              <w:sz w:val="28"/>
              <w:szCs w:val="28"/>
            </w:rPr>
            <w:fldChar w:fldCharType="separate"/>
          </w:r>
          <w:r>
            <w:rPr>
              <w:rFonts w:eastAsia="楷体_GB2312"/>
              <w:sz w:val="28"/>
              <w:szCs w:val="28"/>
            </w:rPr>
            <w:t>3.4  联合应急指挥部</w:t>
          </w:r>
          <w:r>
            <w:rPr>
              <w:sz w:val="28"/>
              <w:szCs w:val="28"/>
            </w:rPr>
            <w:tab/>
          </w:r>
          <w:r>
            <w:rPr>
              <w:sz w:val="28"/>
              <w:szCs w:val="28"/>
            </w:rPr>
            <w:fldChar w:fldCharType="begin"/>
          </w:r>
          <w:r>
            <w:rPr>
              <w:sz w:val="28"/>
              <w:szCs w:val="28"/>
            </w:rPr>
            <w:instrText xml:space="preserve"> PAGEREF _Toc28103 \h </w:instrText>
          </w:r>
          <w:r>
            <w:rPr>
              <w:sz w:val="28"/>
              <w:szCs w:val="28"/>
            </w:rPr>
            <w:fldChar w:fldCharType="separate"/>
          </w:r>
          <w:r>
            <w:rPr>
              <w:sz w:val="28"/>
              <w:szCs w:val="28"/>
            </w:rPr>
            <w:t>- 54 -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_Toc13114 </w:instrText>
          </w:r>
          <w:r>
            <w:rPr>
              <w:sz w:val="28"/>
              <w:szCs w:val="28"/>
            </w:rPr>
            <w:fldChar w:fldCharType="separate"/>
          </w:r>
          <w:r>
            <w:rPr>
              <w:rFonts w:eastAsia="楷体_GB2312"/>
              <w:sz w:val="28"/>
              <w:szCs w:val="28"/>
            </w:rPr>
            <w:t>3.5 组织指挥机制</w:t>
          </w:r>
          <w:r>
            <w:rPr>
              <w:sz w:val="28"/>
              <w:szCs w:val="28"/>
            </w:rPr>
            <w:tab/>
          </w:r>
          <w:r>
            <w:rPr>
              <w:sz w:val="28"/>
              <w:szCs w:val="28"/>
            </w:rPr>
            <w:fldChar w:fldCharType="begin"/>
          </w:r>
          <w:r>
            <w:rPr>
              <w:sz w:val="28"/>
              <w:szCs w:val="28"/>
            </w:rPr>
            <w:instrText xml:space="preserve"> PAGEREF _Toc13114 \h </w:instrText>
          </w:r>
          <w:r>
            <w:rPr>
              <w:sz w:val="28"/>
              <w:szCs w:val="28"/>
            </w:rPr>
            <w:fldChar w:fldCharType="separate"/>
          </w:r>
          <w:r>
            <w:rPr>
              <w:sz w:val="28"/>
              <w:szCs w:val="28"/>
            </w:rPr>
            <w:t>- 55 -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_Toc20310 </w:instrText>
          </w:r>
          <w:r>
            <w:rPr>
              <w:sz w:val="28"/>
              <w:szCs w:val="28"/>
            </w:rPr>
            <w:fldChar w:fldCharType="separate"/>
          </w:r>
          <w:r>
            <w:rPr>
              <w:rFonts w:eastAsia="楷体_GB2312"/>
              <w:sz w:val="28"/>
              <w:szCs w:val="28"/>
            </w:rPr>
            <w:t>3.6现场指挥机构</w:t>
          </w:r>
          <w:r>
            <w:rPr>
              <w:sz w:val="28"/>
              <w:szCs w:val="28"/>
            </w:rPr>
            <w:tab/>
          </w:r>
          <w:r>
            <w:rPr>
              <w:sz w:val="28"/>
              <w:szCs w:val="28"/>
            </w:rPr>
            <w:fldChar w:fldCharType="begin"/>
          </w:r>
          <w:r>
            <w:rPr>
              <w:sz w:val="28"/>
              <w:szCs w:val="28"/>
            </w:rPr>
            <w:instrText xml:space="preserve"> PAGEREF _Toc20310 \h </w:instrText>
          </w:r>
          <w:r>
            <w:rPr>
              <w:sz w:val="28"/>
              <w:szCs w:val="28"/>
            </w:rPr>
            <w:fldChar w:fldCharType="separate"/>
          </w:r>
          <w:r>
            <w:rPr>
              <w:sz w:val="28"/>
              <w:szCs w:val="28"/>
            </w:rPr>
            <w:t>- 56 -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_Toc24856 </w:instrText>
          </w:r>
          <w:r>
            <w:rPr>
              <w:sz w:val="28"/>
              <w:szCs w:val="28"/>
            </w:rPr>
            <w:fldChar w:fldCharType="separate"/>
          </w:r>
          <w:r>
            <w:rPr>
              <w:rFonts w:eastAsia="楷体_GB2312"/>
              <w:sz w:val="28"/>
              <w:szCs w:val="28"/>
            </w:rPr>
            <w:t>3.7专家组</w:t>
          </w:r>
          <w:r>
            <w:rPr>
              <w:sz w:val="28"/>
              <w:szCs w:val="28"/>
            </w:rPr>
            <w:tab/>
          </w:r>
          <w:r>
            <w:rPr>
              <w:sz w:val="28"/>
              <w:szCs w:val="28"/>
            </w:rPr>
            <w:fldChar w:fldCharType="begin"/>
          </w:r>
          <w:r>
            <w:rPr>
              <w:sz w:val="28"/>
              <w:szCs w:val="28"/>
            </w:rPr>
            <w:instrText xml:space="preserve"> PAGEREF _Toc24856 \h </w:instrText>
          </w:r>
          <w:r>
            <w:rPr>
              <w:sz w:val="28"/>
              <w:szCs w:val="28"/>
            </w:rPr>
            <w:fldChar w:fldCharType="separate"/>
          </w:r>
          <w:r>
            <w:rPr>
              <w:sz w:val="28"/>
              <w:szCs w:val="28"/>
            </w:rPr>
            <w:t>- 58 -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_Toc14151 </w:instrText>
          </w:r>
          <w:r>
            <w:rPr>
              <w:sz w:val="28"/>
              <w:szCs w:val="28"/>
            </w:rPr>
            <w:fldChar w:fldCharType="separate"/>
          </w:r>
          <w:r>
            <w:rPr>
              <w:rFonts w:eastAsia="黑体"/>
              <w:sz w:val="28"/>
              <w:szCs w:val="28"/>
            </w:rPr>
            <w:t>4运行机制</w:t>
          </w:r>
          <w:r>
            <w:rPr>
              <w:sz w:val="28"/>
              <w:szCs w:val="28"/>
            </w:rPr>
            <w:tab/>
          </w:r>
          <w:r>
            <w:rPr>
              <w:sz w:val="28"/>
              <w:szCs w:val="28"/>
            </w:rPr>
            <w:fldChar w:fldCharType="begin"/>
          </w:r>
          <w:r>
            <w:rPr>
              <w:sz w:val="28"/>
              <w:szCs w:val="28"/>
            </w:rPr>
            <w:instrText xml:space="preserve"> PAGEREF _Toc14151 \h </w:instrText>
          </w:r>
          <w:r>
            <w:rPr>
              <w:sz w:val="28"/>
              <w:szCs w:val="28"/>
            </w:rPr>
            <w:fldChar w:fldCharType="separate"/>
          </w:r>
          <w:r>
            <w:rPr>
              <w:sz w:val="28"/>
              <w:szCs w:val="28"/>
            </w:rPr>
            <w:t>- 58 -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_Toc6475 </w:instrText>
          </w:r>
          <w:r>
            <w:rPr>
              <w:sz w:val="28"/>
              <w:szCs w:val="28"/>
            </w:rPr>
            <w:fldChar w:fldCharType="separate"/>
          </w:r>
          <w:r>
            <w:rPr>
              <w:rFonts w:eastAsia="楷体_GB2312"/>
              <w:sz w:val="28"/>
              <w:szCs w:val="28"/>
            </w:rPr>
            <w:t>4.1风险防控</w:t>
          </w:r>
          <w:r>
            <w:rPr>
              <w:sz w:val="28"/>
              <w:szCs w:val="28"/>
            </w:rPr>
            <w:tab/>
          </w:r>
          <w:r>
            <w:rPr>
              <w:sz w:val="28"/>
              <w:szCs w:val="28"/>
            </w:rPr>
            <w:fldChar w:fldCharType="begin"/>
          </w:r>
          <w:r>
            <w:rPr>
              <w:sz w:val="28"/>
              <w:szCs w:val="28"/>
            </w:rPr>
            <w:instrText xml:space="preserve"> PAGEREF _Toc6475 \h </w:instrText>
          </w:r>
          <w:r>
            <w:rPr>
              <w:sz w:val="28"/>
              <w:szCs w:val="28"/>
            </w:rPr>
            <w:fldChar w:fldCharType="separate"/>
          </w:r>
          <w:r>
            <w:rPr>
              <w:sz w:val="28"/>
              <w:szCs w:val="28"/>
            </w:rPr>
            <w:t>- 58 -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_Toc28859 </w:instrText>
          </w:r>
          <w:r>
            <w:rPr>
              <w:sz w:val="28"/>
              <w:szCs w:val="28"/>
            </w:rPr>
            <w:fldChar w:fldCharType="separate"/>
          </w:r>
          <w:r>
            <w:rPr>
              <w:rFonts w:eastAsia="楷体_GB2312"/>
              <w:sz w:val="28"/>
              <w:szCs w:val="28"/>
            </w:rPr>
            <w:t>4.2  监测预警</w:t>
          </w:r>
          <w:r>
            <w:rPr>
              <w:sz w:val="28"/>
              <w:szCs w:val="28"/>
            </w:rPr>
            <w:tab/>
          </w:r>
          <w:r>
            <w:rPr>
              <w:sz w:val="28"/>
              <w:szCs w:val="28"/>
            </w:rPr>
            <w:fldChar w:fldCharType="begin"/>
          </w:r>
          <w:r>
            <w:rPr>
              <w:sz w:val="28"/>
              <w:szCs w:val="28"/>
            </w:rPr>
            <w:instrText xml:space="preserve"> PAGEREF _Toc28859 \h </w:instrText>
          </w:r>
          <w:r>
            <w:rPr>
              <w:sz w:val="28"/>
              <w:szCs w:val="28"/>
            </w:rPr>
            <w:fldChar w:fldCharType="separate"/>
          </w:r>
          <w:r>
            <w:rPr>
              <w:sz w:val="28"/>
              <w:szCs w:val="28"/>
            </w:rPr>
            <w:t>- 60 -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_Toc12387 </w:instrText>
          </w:r>
          <w:r>
            <w:rPr>
              <w:sz w:val="28"/>
              <w:szCs w:val="28"/>
            </w:rPr>
            <w:fldChar w:fldCharType="separate"/>
          </w:r>
          <w:r>
            <w:rPr>
              <w:rFonts w:eastAsia="楷体_GB2312"/>
              <w:sz w:val="28"/>
              <w:szCs w:val="28"/>
            </w:rPr>
            <w:t>4.3  信息报告</w:t>
          </w:r>
          <w:r>
            <w:rPr>
              <w:sz w:val="28"/>
              <w:szCs w:val="28"/>
            </w:rPr>
            <w:tab/>
          </w:r>
          <w:r>
            <w:rPr>
              <w:sz w:val="28"/>
              <w:szCs w:val="28"/>
            </w:rPr>
            <w:fldChar w:fldCharType="begin"/>
          </w:r>
          <w:r>
            <w:rPr>
              <w:sz w:val="28"/>
              <w:szCs w:val="28"/>
            </w:rPr>
            <w:instrText xml:space="preserve"> PAGEREF _Toc12387 \h </w:instrText>
          </w:r>
          <w:r>
            <w:rPr>
              <w:sz w:val="28"/>
              <w:szCs w:val="28"/>
            </w:rPr>
            <w:fldChar w:fldCharType="separate"/>
          </w:r>
          <w:r>
            <w:rPr>
              <w:sz w:val="28"/>
              <w:szCs w:val="28"/>
            </w:rPr>
            <w:t>- 63 -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_Toc9263 </w:instrText>
          </w:r>
          <w:r>
            <w:rPr>
              <w:sz w:val="28"/>
              <w:szCs w:val="28"/>
            </w:rPr>
            <w:fldChar w:fldCharType="separate"/>
          </w:r>
          <w:r>
            <w:rPr>
              <w:rFonts w:eastAsia="楷体_GB2312"/>
              <w:sz w:val="28"/>
              <w:szCs w:val="28"/>
            </w:rPr>
            <w:t>4.4应急处置和救援</w:t>
          </w:r>
          <w:r>
            <w:rPr>
              <w:sz w:val="28"/>
              <w:szCs w:val="28"/>
            </w:rPr>
            <w:tab/>
          </w:r>
          <w:r>
            <w:rPr>
              <w:sz w:val="28"/>
              <w:szCs w:val="28"/>
            </w:rPr>
            <w:fldChar w:fldCharType="begin"/>
          </w:r>
          <w:r>
            <w:rPr>
              <w:sz w:val="28"/>
              <w:szCs w:val="28"/>
            </w:rPr>
            <w:instrText xml:space="preserve"> PAGEREF _Toc9263 \h </w:instrText>
          </w:r>
          <w:r>
            <w:rPr>
              <w:sz w:val="28"/>
              <w:szCs w:val="28"/>
            </w:rPr>
            <w:fldChar w:fldCharType="separate"/>
          </w:r>
          <w:r>
            <w:rPr>
              <w:sz w:val="28"/>
              <w:szCs w:val="28"/>
            </w:rPr>
            <w:t>- 65 -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_Toc25201 </w:instrText>
          </w:r>
          <w:r>
            <w:rPr>
              <w:sz w:val="28"/>
              <w:szCs w:val="28"/>
            </w:rPr>
            <w:fldChar w:fldCharType="separate"/>
          </w:r>
          <w:r>
            <w:rPr>
              <w:rFonts w:eastAsia="楷体_GB2312"/>
              <w:sz w:val="28"/>
              <w:szCs w:val="28"/>
            </w:rPr>
            <w:t>4.5  恢复重建</w:t>
          </w:r>
          <w:r>
            <w:rPr>
              <w:sz w:val="28"/>
              <w:szCs w:val="28"/>
            </w:rPr>
            <w:tab/>
          </w:r>
          <w:r>
            <w:rPr>
              <w:sz w:val="28"/>
              <w:szCs w:val="28"/>
            </w:rPr>
            <w:fldChar w:fldCharType="begin"/>
          </w:r>
          <w:r>
            <w:rPr>
              <w:sz w:val="28"/>
              <w:szCs w:val="28"/>
            </w:rPr>
            <w:instrText xml:space="preserve"> PAGEREF _Toc25201 \h </w:instrText>
          </w:r>
          <w:r>
            <w:rPr>
              <w:sz w:val="28"/>
              <w:szCs w:val="28"/>
            </w:rPr>
            <w:fldChar w:fldCharType="separate"/>
          </w:r>
          <w:r>
            <w:rPr>
              <w:sz w:val="28"/>
              <w:szCs w:val="28"/>
            </w:rPr>
            <w:t>- 73 -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_Toc1261 </w:instrText>
          </w:r>
          <w:r>
            <w:rPr>
              <w:sz w:val="28"/>
              <w:szCs w:val="28"/>
            </w:rPr>
            <w:fldChar w:fldCharType="separate"/>
          </w:r>
          <w:r>
            <w:rPr>
              <w:rFonts w:eastAsia="黑体"/>
              <w:sz w:val="28"/>
              <w:szCs w:val="28"/>
            </w:rPr>
            <w:t>5  资源保障</w:t>
          </w:r>
          <w:r>
            <w:rPr>
              <w:sz w:val="28"/>
              <w:szCs w:val="28"/>
            </w:rPr>
            <w:tab/>
          </w:r>
          <w:r>
            <w:rPr>
              <w:sz w:val="28"/>
              <w:szCs w:val="28"/>
            </w:rPr>
            <w:fldChar w:fldCharType="begin"/>
          </w:r>
          <w:r>
            <w:rPr>
              <w:sz w:val="28"/>
              <w:szCs w:val="28"/>
            </w:rPr>
            <w:instrText xml:space="preserve"> PAGEREF _Toc1261 \h </w:instrText>
          </w:r>
          <w:r>
            <w:rPr>
              <w:sz w:val="28"/>
              <w:szCs w:val="28"/>
            </w:rPr>
            <w:fldChar w:fldCharType="separate"/>
          </w:r>
          <w:r>
            <w:rPr>
              <w:sz w:val="28"/>
              <w:szCs w:val="28"/>
            </w:rPr>
            <w:t>- 75 -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_Toc18211 </w:instrText>
          </w:r>
          <w:r>
            <w:rPr>
              <w:sz w:val="28"/>
              <w:szCs w:val="28"/>
            </w:rPr>
            <w:fldChar w:fldCharType="separate"/>
          </w:r>
          <w:r>
            <w:rPr>
              <w:rFonts w:eastAsia="楷体_GB2312"/>
              <w:sz w:val="28"/>
              <w:szCs w:val="28"/>
            </w:rPr>
            <w:t>5.1  人力资源</w:t>
          </w:r>
          <w:r>
            <w:rPr>
              <w:sz w:val="28"/>
              <w:szCs w:val="28"/>
            </w:rPr>
            <w:tab/>
          </w:r>
          <w:r>
            <w:rPr>
              <w:sz w:val="28"/>
              <w:szCs w:val="28"/>
            </w:rPr>
            <w:fldChar w:fldCharType="begin"/>
          </w:r>
          <w:r>
            <w:rPr>
              <w:sz w:val="28"/>
              <w:szCs w:val="28"/>
            </w:rPr>
            <w:instrText xml:space="preserve"> PAGEREF _Toc18211 \h </w:instrText>
          </w:r>
          <w:r>
            <w:rPr>
              <w:sz w:val="28"/>
              <w:szCs w:val="28"/>
            </w:rPr>
            <w:fldChar w:fldCharType="separate"/>
          </w:r>
          <w:r>
            <w:rPr>
              <w:sz w:val="28"/>
              <w:szCs w:val="28"/>
            </w:rPr>
            <w:t>- 75 -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_Toc32558 </w:instrText>
          </w:r>
          <w:r>
            <w:rPr>
              <w:sz w:val="28"/>
              <w:szCs w:val="28"/>
            </w:rPr>
            <w:fldChar w:fldCharType="separate"/>
          </w:r>
          <w:r>
            <w:rPr>
              <w:rFonts w:eastAsia="楷体_GB2312"/>
              <w:sz w:val="28"/>
              <w:szCs w:val="28"/>
            </w:rPr>
            <w:t>5.2  财力支持</w:t>
          </w:r>
          <w:r>
            <w:rPr>
              <w:sz w:val="28"/>
              <w:szCs w:val="28"/>
            </w:rPr>
            <w:tab/>
          </w:r>
          <w:r>
            <w:rPr>
              <w:sz w:val="28"/>
              <w:szCs w:val="28"/>
            </w:rPr>
            <w:fldChar w:fldCharType="begin"/>
          </w:r>
          <w:r>
            <w:rPr>
              <w:sz w:val="28"/>
              <w:szCs w:val="28"/>
            </w:rPr>
            <w:instrText xml:space="preserve"> PAGEREF _Toc32558 \h </w:instrText>
          </w:r>
          <w:r>
            <w:rPr>
              <w:sz w:val="28"/>
              <w:szCs w:val="28"/>
            </w:rPr>
            <w:fldChar w:fldCharType="separate"/>
          </w:r>
          <w:r>
            <w:rPr>
              <w:sz w:val="28"/>
              <w:szCs w:val="28"/>
            </w:rPr>
            <w:t>- 76 -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_Toc10226 </w:instrText>
          </w:r>
          <w:r>
            <w:rPr>
              <w:sz w:val="28"/>
              <w:szCs w:val="28"/>
            </w:rPr>
            <w:fldChar w:fldCharType="separate"/>
          </w:r>
          <w:r>
            <w:rPr>
              <w:rFonts w:eastAsia="楷体_GB2312"/>
              <w:sz w:val="28"/>
              <w:szCs w:val="28"/>
            </w:rPr>
            <w:t>5.3  物资装备</w:t>
          </w:r>
          <w:r>
            <w:rPr>
              <w:sz w:val="28"/>
              <w:szCs w:val="28"/>
            </w:rPr>
            <w:tab/>
          </w:r>
          <w:r>
            <w:rPr>
              <w:sz w:val="28"/>
              <w:szCs w:val="28"/>
            </w:rPr>
            <w:fldChar w:fldCharType="begin"/>
          </w:r>
          <w:r>
            <w:rPr>
              <w:sz w:val="28"/>
              <w:szCs w:val="28"/>
            </w:rPr>
            <w:instrText xml:space="preserve"> PAGEREF _Toc10226 \h </w:instrText>
          </w:r>
          <w:r>
            <w:rPr>
              <w:sz w:val="28"/>
              <w:szCs w:val="28"/>
            </w:rPr>
            <w:fldChar w:fldCharType="separate"/>
          </w:r>
          <w:r>
            <w:rPr>
              <w:sz w:val="28"/>
              <w:szCs w:val="28"/>
            </w:rPr>
            <w:t>- 77 -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_Toc5161 </w:instrText>
          </w:r>
          <w:r>
            <w:rPr>
              <w:sz w:val="28"/>
              <w:szCs w:val="28"/>
            </w:rPr>
            <w:fldChar w:fldCharType="separate"/>
          </w:r>
          <w:r>
            <w:rPr>
              <w:rFonts w:eastAsia="楷体_GB2312"/>
              <w:sz w:val="28"/>
              <w:szCs w:val="28"/>
            </w:rPr>
            <w:t>5.4  科技支撑</w:t>
          </w:r>
          <w:r>
            <w:rPr>
              <w:sz w:val="28"/>
              <w:szCs w:val="28"/>
            </w:rPr>
            <w:tab/>
          </w:r>
          <w:r>
            <w:rPr>
              <w:sz w:val="28"/>
              <w:szCs w:val="28"/>
            </w:rPr>
            <w:fldChar w:fldCharType="begin"/>
          </w:r>
          <w:r>
            <w:rPr>
              <w:sz w:val="28"/>
              <w:szCs w:val="28"/>
            </w:rPr>
            <w:instrText xml:space="preserve"> PAGEREF _Toc5161 \h </w:instrText>
          </w:r>
          <w:r>
            <w:rPr>
              <w:sz w:val="28"/>
              <w:szCs w:val="28"/>
            </w:rPr>
            <w:fldChar w:fldCharType="separate"/>
          </w:r>
          <w:r>
            <w:rPr>
              <w:sz w:val="28"/>
              <w:szCs w:val="28"/>
            </w:rPr>
            <w:t>- 78 -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_Toc20588 </w:instrText>
          </w:r>
          <w:r>
            <w:rPr>
              <w:sz w:val="28"/>
              <w:szCs w:val="28"/>
            </w:rPr>
            <w:fldChar w:fldCharType="separate"/>
          </w:r>
          <w:r>
            <w:rPr>
              <w:rFonts w:eastAsia="黑体"/>
              <w:sz w:val="28"/>
              <w:szCs w:val="28"/>
            </w:rPr>
            <w:t>6  责任与奖惩</w:t>
          </w:r>
          <w:r>
            <w:rPr>
              <w:sz w:val="28"/>
              <w:szCs w:val="28"/>
            </w:rPr>
            <w:tab/>
          </w:r>
          <w:r>
            <w:rPr>
              <w:sz w:val="28"/>
              <w:szCs w:val="28"/>
            </w:rPr>
            <w:fldChar w:fldCharType="begin"/>
          </w:r>
          <w:r>
            <w:rPr>
              <w:sz w:val="28"/>
              <w:szCs w:val="28"/>
            </w:rPr>
            <w:instrText xml:space="preserve"> PAGEREF _Toc20588 \h </w:instrText>
          </w:r>
          <w:r>
            <w:rPr>
              <w:sz w:val="28"/>
              <w:szCs w:val="28"/>
            </w:rPr>
            <w:fldChar w:fldCharType="separate"/>
          </w:r>
          <w:r>
            <w:rPr>
              <w:sz w:val="28"/>
              <w:szCs w:val="28"/>
            </w:rPr>
            <w:t>- 79 -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_Toc15257 </w:instrText>
          </w:r>
          <w:r>
            <w:rPr>
              <w:sz w:val="28"/>
              <w:szCs w:val="28"/>
            </w:rPr>
            <w:fldChar w:fldCharType="separate"/>
          </w:r>
          <w:r>
            <w:rPr>
              <w:rFonts w:eastAsia="黑体"/>
              <w:sz w:val="28"/>
              <w:szCs w:val="28"/>
            </w:rPr>
            <w:t>7  预案管理</w:t>
          </w:r>
          <w:r>
            <w:rPr>
              <w:sz w:val="28"/>
              <w:szCs w:val="28"/>
            </w:rPr>
            <w:tab/>
          </w:r>
          <w:r>
            <w:rPr>
              <w:sz w:val="28"/>
              <w:szCs w:val="28"/>
            </w:rPr>
            <w:fldChar w:fldCharType="begin"/>
          </w:r>
          <w:r>
            <w:rPr>
              <w:sz w:val="28"/>
              <w:szCs w:val="28"/>
            </w:rPr>
            <w:instrText xml:space="preserve"> PAGEREF _Toc15257 \h </w:instrText>
          </w:r>
          <w:r>
            <w:rPr>
              <w:sz w:val="28"/>
              <w:szCs w:val="28"/>
            </w:rPr>
            <w:fldChar w:fldCharType="separate"/>
          </w:r>
          <w:r>
            <w:rPr>
              <w:sz w:val="28"/>
              <w:szCs w:val="28"/>
            </w:rPr>
            <w:t>- 79 -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_Toc29218 </w:instrText>
          </w:r>
          <w:r>
            <w:rPr>
              <w:sz w:val="28"/>
              <w:szCs w:val="28"/>
            </w:rPr>
            <w:fldChar w:fldCharType="separate"/>
          </w:r>
          <w:r>
            <w:rPr>
              <w:rFonts w:eastAsia="楷体_GB2312"/>
              <w:sz w:val="28"/>
              <w:szCs w:val="28"/>
            </w:rPr>
            <w:t>7.1  预案编制</w:t>
          </w:r>
          <w:r>
            <w:rPr>
              <w:sz w:val="28"/>
              <w:szCs w:val="28"/>
            </w:rPr>
            <w:tab/>
          </w:r>
          <w:r>
            <w:rPr>
              <w:sz w:val="28"/>
              <w:szCs w:val="28"/>
            </w:rPr>
            <w:fldChar w:fldCharType="begin"/>
          </w:r>
          <w:r>
            <w:rPr>
              <w:sz w:val="28"/>
              <w:szCs w:val="28"/>
            </w:rPr>
            <w:instrText xml:space="preserve"> PAGEREF _Toc29218 \h </w:instrText>
          </w:r>
          <w:r>
            <w:rPr>
              <w:sz w:val="28"/>
              <w:szCs w:val="28"/>
            </w:rPr>
            <w:fldChar w:fldCharType="separate"/>
          </w:r>
          <w:r>
            <w:rPr>
              <w:sz w:val="28"/>
              <w:szCs w:val="28"/>
            </w:rPr>
            <w:t>- 79 -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_Toc7816 </w:instrText>
          </w:r>
          <w:r>
            <w:rPr>
              <w:sz w:val="28"/>
              <w:szCs w:val="28"/>
            </w:rPr>
            <w:fldChar w:fldCharType="separate"/>
          </w:r>
          <w:r>
            <w:rPr>
              <w:rFonts w:eastAsia="楷体_GB2312"/>
              <w:sz w:val="28"/>
              <w:szCs w:val="28"/>
            </w:rPr>
            <w:t>7.2  预案审批与衔接</w:t>
          </w:r>
          <w:r>
            <w:rPr>
              <w:sz w:val="28"/>
              <w:szCs w:val="28"/>
            </w:rPr>
            <w:tab/>
          </w:r>
          <w:r>
            <w:rPr>
              <w:sz w:val="28"/>
              <w:szCs w:val="28"/>
            </w:rPr>
            <w:fldChar w:fldCharType="begin"/>
          </w:r>
          <w:r>
            <w:rPr>
              <w:sz w:val="28"/>
              <w:szCs w:val="28"/>
            </w:rPr>
            <w:instrText xml:space="preserve"> PAGEREF _Toc7816 \h </w:instrText>
          </w:r>
          <w:r>
            <w:rPr>
              <w:sz w:val="28"/>
              <w:szCs w:val="28"/>
            </w:rPr>
            <w:fldChar w:fldCharType="separate"/>
          </w:r>
          <w:r>
            <w:rPr>
              <w:sz w:val="28"/>
              <w:szCs w:val="28"/>
            </w:rPr>
            <w:t>- 80 -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_Toc16584 </w:instrText>
          </w:r>
          <w:r>
            <w:rPr>
              <w:sz w:val="28"/>
              <w:szCs w:val="28"/>
            </w:rPr>
            <w:fldChar w:fldCharType="separate"/>
          </w:r>
          <w:r>
            <w:rPr>
              <w:rFonts w:eastAsia="楷体_GB2312"/>
              <w:sz w:val="28"/>
              <w:szCs w:val="28"/>
            </w:rPr>
            <w:t>7.3  预案演练</w:t>
          </w:r>
          <w:r>
            <w:rPr>
              <w:sz w:val="28"/>
              <w:szCs w:val="28"/>
            </w:rPr>
            <w:tab/>
          </w:r>
          <w:r>
            <w:rPr>
              <w:sz w:val="28"/>
              <w:szCs w:val="28"/>
            </w:rPr>
            <w:fldChar w:fldCharType="begin"/>
          </w:r>
          <w:r>
            <w:rPr>
              <w:sz w:val="28"/>
              <w:szCs w:val="28"/>
            </w:rPr>
            <w:instrText xml:space="preserve"> PAGEREF _Toc16584 \h </w:instrText>
          </w:r>
          <w:r>
            <w:rPr>
              <w:sz w:val="28"/>
              <w:szCs w:val="28"/>
            </w:rPr>
            <w:fldChar w:fldCharType="separate"/>
          </w:r>
          <w:r>
            <w:rPr>
              <w:sz w:val="28"/>
              <w:szCs w:val="28"/>
            </w:rPr>
            <w:t>- 81 -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_Toc23903 </w:instrText>
          </w:r>
          <w:r>
            <w:rPr>
              <w:sz w:val="28"/>
              <w:szCs w:val="28"/>
            </w:rPr>
            <w:fldChar w:fldCharType="separate"/>
          </w:r>
          <w:r>
            <w:rPr>
              <w:rFonts w:eastAsia="楷体_GB2312"/>
              <w:sz w:val="28"/>
              <w:szCs w:val="28"/>
            </w:rPr>
            <w:t>7.4  预案评估与修订</w:t>
          </w:r>
          <w:r>
            <w:rPr>
              <w:sz w:val="28"/>
              <w:szCs w:val="28"/>
            </w:rPr>
            <w:tab/>
          </w:r>
          <w:r>
            <w:rPr>
              <w:sz w:val="28"/>
              <w:szCs w:val="28"/>
            </w:rPr>
            <w:fldChar w:fldCharType="begin"/>
          </w:r>
          <w:r>
            <w:rPr>
              <w:sz w:val="28"/>
              <w:szCs w:val="28"/>
            </w:rPr>
            <w:instrText xml:space="preserve"> PAGEREF _Toc23903 \h </w:instrText>
          </w:r>
          <w:r>
            <w:rPr>
              <w:sz w:val="28"/>
              <w:szCs w:val="28"/>
            </w:rPr>
            <w:fldChar w:fldCharType="separate"/>
          </w:r>
          <w:r>
            <w:rPr>
              <w:sz w:val="28"/>
              <w:szCs w:val="28"/>
            </w:rPr>
            <w:t>- 81 -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_Toc20612 </w:instrText>
          </w:r>
          <w:r>
            <w:rPr>
              <w:sz w:val="28"/>
              <w:szCs w:val="28"/>
            </w:rPr>
            <w:fldChar w:fldCharType="separate"/>
          </w:r>
          <w:r>
            <w:rPr>
              <w:rFonts w:eastAsia="楷体_GB2312"/>
              <w:sz w:val="28"/>
              <w:szCs w:val="28"/>
            </w:rPr>
            <w:t>7.5  宣传和培训</w:t>
          </w:r>
          <w:r>
            <w:rPr>
              <w:sz w:val="28"/>
              <w:szCs w:val="28"/>
            </w:rPr>
            <w:tab/>
          </w:r>
          <w:r>
            <w:rPr>
              <w:sz w:val="28"/>
              <w:szCs w:val="28"/>
            </w:rPr>
            <w:fldChar w:fldCharType="begin"/>
          </w:r>
          <w:r>
            <w:rPr>
              <w:sz w:val="28"/>
              <w:szCs w:val="28"/>
            </w:rPr>
            <w:instrText xml:space="preserve"> PAGEREF _Toc20612 \h </w:instrText>
          </w:r>
          <w:r>
            <w:rPr>
              <w:sz w:val="28"/>
              <w:szCs w:val="28"/>
            </w:rPr>
            <w:fldChar w:fldCharType="separate"/>
          </w:r>
          <w:r>
            <w:rPr>
              <w:sz w:val="28"/>
              <w:szCs w:val="28"/>
            </w:rPr>
            <w:t>- 82 -</w:t>
          </w:r>
          <w:r>
            <w:rPr>
              <w:sz w:val="28"/>
              <w:szCs w:val="28"/>
            </w:rPr>
            <w:fldChar w:fldCharType="end"/>
          </w:r>
          <w:r>
            <w:rPr>
              <w:color w:val="000000" w:themeColor="text1"/>
              <w:sz w:val="28"/>
              <w:szCs w:val="28"/>
              <w14:textFill>
                <w14:solidFill>
                  <w14:schemeClr w14:val="tx1"/>
                </w14:solidFill>
              </w14:textFill>
            </w:rPr>
            <w:fldChar w:fldCharType="end"/>
          </w:r>
        </w:p>
        <w:p>
          <w:pPr>
            <w:pStyle w:val="14"/>
            <w:tabs>
              <w:tab w:val="right" w:leader="dot" w:pos="8730"/>
            </w:tabs>
            <w:rPr>
              <w:sz w:val="28"/>
              <w:szCs w:val="28"/>
            </w:rPr>
          </w:pPr>
          <w:r>
            <w:rPr>
              <w:color w:val="000000" w:themeColor="text1"/>
              <w:sz w:val="28"/>
              <w:szCs w:val="28"/>
              <w14:textFill>
                <w14:solidFill>
                  <w14:schemeClr w14:val="tx1"/>
                </w14:solidFill>
              </w14:textFill>
            </w:rPr>
            <w:fldChar w:fldCharType="begin"/>
          </w:r>
          <w:r>
            <w:rPr>
              <w:sz w:val="28"/>
              <w:szCs w:val="28"/>
            </w:rPr>
            <w:instrText xml:space="preserve"> HYPERLINK \l _Toc25483 </w:instrText>
          </w:r>
          <w:r>
            <w:rPr>
              <w:sz w:val="28"/>
              <w:szCs w:val="28"/>
            </w:rPr>
            <w:fldChar w:fldCharType="separate"/>
          </w:r>
          <w:r>
            <w:rPr>
              <w:rFonts w:eastAsia="黑体"/>
              <w:sz w:val="28"/>
              <w:szCs w:val="28"/>
            </w:rPr>
            <w:t>8  附则</w:t>
          </w:r>
          <w:r>
            <w:rPr>
              <w:sz w:val="28"/>
              <w:szCs w:val="28"/>
            </w:rPr>
            <w:tab/>
          </w:r>
          <w:r>
            <w:rPr>
              <w:sz w:val="28"/>
              <w:szCs w:val="28"/>
            </w:rPr>
            <w:fldChar w:fldCharType="begin"/>
          </w:r>
          <w:r>
            <w:rPr>
              <w:sz w:val="28"/>
              <w:szCs w:val="28"/>
            </w:rPr>
            <w:instrText xml:space="preserve"> PAGEREF _Toc25483 \h </w:instrText>
          </w:r>
          <w:r>
            <w:rPr>
              <w:sz w:val="28"/>
              <w:szCs w:val="28"/>
            </w:rPr>
            <w:fldChar w:fldCharType="separate"/>
          </w:r>
          <w:r>
            <w:rPr>
              <w:sz w:val="28"/>
              <w:szCs w:val="28"/>
            </w:rPr>
            <w:t>- 83 -</w:t>
          </w:r>
          <w:r>
            <w:rPr>
              <w:sz w:val="28"/>
              <w:szCs w:val="28"/>
            </w:rPr>
            <w:fldChar w:fldCharType="end"/>
          </w:r>
          <w:r>
            <w:rPr>
              <w:color w:val="000000" w:themeColor="text1"/>
              <w:sz w:val="28"/>
              <w:szCs w:val="28"/>
              <w14:textFill>
                <w14:solidFill>
                  <w14:schemeClr w14:val="tx1"/>
                </w14:solidFill>
              </w14:textFill>
            </w:rPr>
            <w:fldChar w:fldCharType="end"/>
          </w:r>
        </w:p>
        <w:p>
          <w:pPr>
            <w:rPr>
              <w:color w:val="000000" w:themeColor="text1"/>
              <w14:textFill>
                <w14:solidFill>
                  <w14:schemeClr w14:val="tx1"/>
                </w14:solidFill>
              </w14:textFill>
            </w:rPr>
          </w:pPr>
          <w:r>
            <w:rPr>
              <w:color w:val="000000" w:themeColor="text1"/>
              <w:sz w:val="28"/>
              <w:szCs w:val="28"/>
              <w14:textFill>
                <w14:solidFill>
                  <w14:schemeClr w14:val="tx1"/>
                </w14:solidFill>
              </w14:textFill>
            </w:rPr>
            <w:fldChar w:fldCharType="end"/>
          </w:r>
        </w:p>
      </w:sdtContent>
    </w:sdt>
    <w:p>
      <w:pPr>
        <w:widowControl/>
        <w:shd w:val="clear" w:color="auto" w:fill="FFFFFF"/>
        <w:ind w:firstLine="880" w:firstLineChars="200"/>
        <w:jc w:val="center"/>
        <w:rPr>
          <w:rFonts w:eastAsia="方正小标宋简体"/>
          <w:color w:val="000000" w:themeColor="text1"/>
          <w:kern w:val="0"/>
          <w:sz w:val="44"/>
          <w:szCs w:val="44"/>
          <w:shd w:val="clear" w:color="auto" w:fill="FFFFFF"/>
          <w14:textFill>
            <w14:solidFill>
              <w14:schemeClr w14:val="tx1"/>
            </w14:solidFill>
          </w14:textFill>
        </w:rPr>
        <w:sectPr>
          <w:headerReference r:id="rId14" w:type="first"/>
          <w:footerReference r:id="rId17" w:type="first"/>
          <w:headerReference r:id="rId13" w:type="default"/>
          <w:footerReference r:id="rId15" w:type="default"/>
          <w:footerReference r:id="rId16" w:type="even"/>
          <w:pgSz w:w="11906" w:h="16838"/>
          <w:pgMar w:top="1134" w:right="1588" w:bottom="1134" w:left="1588" w:header="851" w:footer="680" w:gutter="0"/>
          <w:pgNumType w:fmt="numberInDash"/>
          <w:cols w:space="720" w:num="1"/>
          <w:docGrid w:type="lines" w:linePitch="312" w:charSpace="0"/>
        </w:sectPr>
      </w:pPr>
      <w:bookmarkStart w:id="0" w:name="_Toc9576"/>
      <w:bookmarkStart w:id="1" w:name="_Toc6991"/>
      <w:bookmarkStart w:id="2" w:name="_Toc32448"/>
    </w:p>
    <w:bookmarkEnd w:id="0"/>
    <w:bookmarkEnd w:id="1"/>
    <w:bookmarkEnd w:id="2"/>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3" w:name="_Toc10243"/>
      <w:r>
        <w:rPr>
          <w:rFonts w:eastAsia="黑体"/>
          <w:color w:val="000000" w:themeColor="text1"/>
          <w:sz w:val="32"/>
          <w:szCs w:val="32"/>
          <w14:textFill>
            <w14:solidFill>
              <w14:schemeClr w14:val="tx1"/>
            </w14:solidFill>
          </w14:textFill>
        </w:rPr>
        <w:t>1  总则</w:t>
      </w:r>
      <w:bookmarkEnd w:id="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kern w:val="0"/>
          <w:sz w:val="32"/>
          <w:szCs w:val="32"/>
          <w14:textFill>
            <w14:solidFill>
              <w14:schemeClr w14:val="tx1"/>
            </w14:solidFill>
          </w14:textFill>
        </w:rPr>
      </w:pPr>
      <w:bookmarkStart w:id="4" w:name="_Toc11863"/>
      <w:r>
        <w:rPr>
          <w:rFonts w:eastAsia="楷体_GB2312"/>
          <w:color w:val="000000" w:themeColor="text1"/>
          <w:kern w:val="0"/>
          <w:sz w:val="32"/>
          <w:szCs w:val="32"/>
          <w14:textFill>
            <w14:solidFill>
              <w14:schemeClr w14:val="tx1"/>
            </w14:solidFill>
          </w14:textFill>
        </w:rPr>
        <w:t>1.1编制依据</w:t>
      </w:r>
      <w:bookmarkEnd w:id="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以习近平新时代中国特色社会主义思想为指导，全面贯彻落实总体国家安全观，建立健全郯城县应急预案体系和运行机制，积极防范和化解各类安全风险，规范各类突发事件应急处置行为，持续提高我县应对各种突发事件的能力，维护全县安全和社会稳</w:t>
      </w:r>
      <w:r>
        <w:rPr>
          <w:rFonts w:hint="eastAsia" w:eastAsia="仿宋_GB2312"/>
          <w:color w:val="000000" w:themeColor="text1"/>
          <w:sz w:val="32"/>
          <w:szCs w:val="32"/>
          <w:lang w:val="en-US" w:eastAsia="zh-CN"/>
          <w14:textFill>
            <w14:solidFill>
              <w14:schemeClr w14:val="tx1"/>
            </w14:solidFill>
          </w14:textFill>
        </w:rPr>
        <w:t>定</w:t>
      </w:r>
      <w:r>
        <w:rPr>
          <w:rFonts w:eastAsia="仿宋_GB2312"/>
          <w:color w:val="000000" w:themeColor="text1"/>
          <w:sz w:val="32"/>
          <w:szCs w:val="32"/>
          <w14:textFill>
            <w14:solidFill>
              <w14:schemeClr w14:val="tx1"/>
            </w14:solidFill>
          </w14:textFill>
        </w:rPr>
        <w:t>。依据《中华人民共和国突发事件应对法》《山东省突发事件应对条例》《山东省突发事件总体应急预案》《临沂市突发事件总体应急预案》《关于郯城县县级机构改革的实施意见》等法律、法规和有关规定，制定本预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kern w:val="0"/>
          <w:sz w:val="32"/>
          <w:szCs w:val="32"/>
          <w14:textFill>
            <w14:solidFill>
              <w14:schemeClr w14:val="tx1"/>
            </w14:solidFill>
          </w14:textFill>
        </w:rPr>
      </w:pPr>
      <w:bookmarkStart w:id="5" w:name="_Toc29611"/>
      <w:bookmarkEnd w:id="5"/>
      <w:bookmarkStart w:id="6" w:name="_Toc30259"/>
      <w:bookmarkEnd w:id="6"/>
      <w:bookmarkStart w:id="7" w:name="_Toc27057"/>
      <w:bookmarkEnd w:id="7"/>
      <w:bookmarkStart w:id="8" w:name="_Toc30523"/>
      <w:bookmarkEnd w:id="8"/>
      <w:bookmarkStart w:id="9" w:name="_Toc20547"/>
      <w:bookmarkEnd w:id="9"/>
      <w:bookmarkStart w:id="10" w:name="_Toc10762"/>
      <w:bookmarkEnd w:id="10"/>
      <w:bookmarkStart w:id="11" w:name="_Toc29138"/>
      <w:bookmarkStart w:id="12" w:name="_Toc12550"/>
      <w:bookmarkStart w:id="13" w:name="_Toc23726"/>
      <w:r>
        <w:rPr>
          <w:rFonts w:eastAsia="楷体_GB2312"/>
          <w:color w:val="000000" w:themeColor="text1"/>
          <w:kern w:val="0"/>
          <w:sz w:val="32"/>
          <w:szCs w:val="32"/>
          <w14:textFill>
            <w14:solidFill>
              <w14:schemeClr w14:val="tx1"/>
            </w14:solidFill>
          </w14:textFill>
        </w:rPr>
        <w:t>1.2 适用范围</w:t>
      </w:r>
      <w:bookmarkEnd w:id="11"/>
      <w:bookmarkEnd w:id="12"/>
      <w:bookmarkEnd w:id="1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本预案是郯城县应急预案体系的总纲，用于指导预防和处置发生在郯城县行政区域内或发生在其他地区涉及郯城县，应由郯城县处置或参与处置的各类突发事件。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kern w:val="0"/>
          <w:szCs w:val="32"/>
          <w14:textFill>
            <w14:solidFill>
              <w14:schemeClr w14:val="tx1"/>
            </w14:solidFill>
          </w14:textFill>
        </w:rPr>
      </w:pPr>
      <w:r>
        <w:rPr>
          <w:rFonts w:eastAsia="仿宋_GB2312"/>
          <w:color w:val="000000" w:themeColor="text1"/>
          <w:sz w:val="32"/>
          <w:szCs w:val="32"/>
          <w14:textFill>
            <w14:solidFill>
              <w14:schemeClr w14:val="tx1"/>
            </w14:solidFill>
          </w14:textFill>
        </w:rPr>
        <w:t>本预案所称突发事件是指突然发生，造成或者可能造成严重社会危害，需要采取应急处置措施予以应对的自然灾害、事故灾难、公共卫生事件和社会安全事件。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4" w:name="_Toc19750"/>
      <w:bookmarkEnd w:id="14"/>
      <w:bookmarkStart w:id="15" w:name="_Toc8311"/>
      <w:bookmarkEnd w:id="15"/>
      <w:bookmarkStart w:id="16" w:name="_Toc5077"/>
      <w:bookmarkEnd w:id="16"/>
      <w:bookmarkStart w:id="17" w:name="_Toc25589"/>
      <w:bookmarkEnd w:id="17"/>
      <w:bookmarkStart w:id="18" w:name="_Toc10100"/>
      <w:bookmarkEnd w:id="18"/>
      <w:bookmarkStart w:id="19" w:name="_Toc13584"/>
      <w:bookmarkEnd w:id="19"/>
      <w:bookmarkStart w:id="20" w:name="_Toc18596"/>
      <w:bookmarkStart w:id="21" w:name="_Toc14531"/>
      <w:bookmarkStart w:id="22" w:name="_Toc29776"/>
      <w:r>
        <w:rPr>
          <w:rFonts w:eastAsia="楷体_GB2312"/>
          <w:color w:val="000000" w:themeColor="text1"/>
          <w:sz w:val="32"/>
          <w:szCs w:val="32"/>
          <w14:textFill>
            <w14:solidFill>
              <w14:schemeClr w14:val="tx1"/>
            </w14:solidFill>
          </w14:textFill>
        </w:rPr>
        <w:t>1.3 工作原则</w:t>
      </w:r>
      <w:bookmarkEnd w:id="20"/>
      <w:bookmarkEnd w:id="21"/>
      <w:bookmarkEnd w:id="2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kern w:val="0"/>
          <w:szCs w:val="32"/>
          <w14:textFill>
            <w14:solidFill>
              <w14:schemeClr w14:val="tx1"/>
            </w14:solidFill>
          </w14:textFill>
        </w:rPr>
      </w:pPr>
      <w:r>
        <w:rPr>
          <w:rFonts w:eastAsia="仿宋_GB2312"/>
          <w:color w:val="000000" w:themeColor="text1"/>
          <w:sz w:val="32"/>
          <w:szCs w:val="32"/>
          <w14:textFill>
            <w14:solidFill>
              <w14:schemeClr w14:val="tx1"/>
            </w14:solidFill>
          </w14:textFill>
        </w:rPr>
        <w:t>应对突发事件坚持人民至上、生命至上，统一领导、协调联动，分级负责、属地为主，快速反应、高效应对，科技支撑、依法管理的工作原则。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23" w:name="_Toc26453"/>
      <w:bookmarkEnd w:id="23"/>
      <w:bookmarkStart w:id="24" w:name="_Toc10911"/>
      <w:bookmarkEnd w:id="24"/>
      <w:bookmarkStart w:id="25" w:name="_Toc11821"/>
      <w:bookmarkEnd w:id="25"/>
      <w:bookmarkStart w:id="26" w:name="_Toc855"/>
      <w:bookmarkEnd w:id="26"/>
      <w:bookmarkStart w:id="27" w:name="_Toc9924"/>
      <w:bookmarkEnd w:id="27"/>
      <w:bookmarkStart w:id="28" w:name="_Toc17974"/>
      <w:bookmarkEnd w:id="28"/>
      <w:bookmarkStart w:id="29" w:name="_Toc27427"/>
      <w:bookmarkStart w:id="30" w:name="_Toc3170"/>
      <w:bookmarkStart w:id="31" w:name="_Toc12034"/>
      <w:r>
        <w:rPr>
          <w:rFonts w:eastAsia="楷体_GB2312"/>
          <w:color w:val="000000" w:themeColor="text1"/>
          <w:sz w:val="32"/>
          <w:szCs w:val="32"/>
          <w14:textFill>
            <w14:solidFill>
              <w14:schemeClr w14:val="tx1"/>
            </w14:solidFill>
          </w14:textFill>
        </w:rPr>
        <w:t>1.4 事件分类分级</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32" w:name="_Toc9787"/>
      <w:bookmarkEnd w:id="32"/>
      <w:r>
        <w:rPr>
          <w:rFonts w:eastAsia="仿宋_GB2312"/>
          <w:color w:val="000000" w:themeColor="text1"/>
          <w:sz w:val="32"/>
          <w:szCs w:val="32"/>
          <w14:textFill>
            <w14:solidFill>
              <w14:schemeClr w14:val="tx1"/>
            </w14:solidFill>
          </w14:textFill>
        </w:rPr>
        <w:t>1.4.1突发事件分类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（1）自然灾害。主要包括水旱灾害、气象灾害、地震灾害、地质灾害、生物灾害和森林火灾等。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（2）事故灾难。主要包括工矿商贸等企业的各类安全事故、火灾事故、交通运输事故、公共设施和设备事故、辐射事故、环境污染和生态破坏事件等。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（3）公共卫生事件。主要包括传染病疫情、群体性不明原因疾病、食物和职业中毒以及其他严重影响公众健康和生命安全的事件。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kern w:val="0"/>
          <w:szCs w:val="32"/>
          <w14:textFill>
            <w14:solidFill>
              <w14:schemeClr w14:val="tx1"/>
            </w14:solidFill>
          </w14:textFill>
        </w:rPr>
      </w:pPr>
      <w:r>
        <w:rPr>
          <w:rFonts w:eastAsia="仿宋_GB2312"/>
          <w:color w:val="000000" w:themeColor="text1"/>
          <w:sz w:val="32"/>
          <w:szCs w:val="32"/>
          <w14:textFill>
            <w14:solidFill>
              <w14:schemeClr w14:val="tx1"/>
            </w14:solidFill>
          </w14:textFill>
        </w:rPr>
        <w:t>（4）社会安全事件。主要包括恐怖袭击事件、严重刑事案件、群体性事件、金融突发事件、涉外突发事件、民族宗教事件、舆情突发事件、网络与信息安全事件等。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33" w:name="_Toc23908"/>
      <w:bookmarkEnd w:id="33"/>
      <w:r>
        <w:rPr>
          <w:rFonts w:eastAsia="仿宋_GB2312"/>
          <w:color w:val="000000" w:themeColor="text1"/>
          <w:sz w:val="32"/>
          <w:szCs w:val="32"/>
          <w14:textFill>
            <w14:solidFill>
              <w14:schemeClr w14:val="tx1"/>
            </w14:solidFill>
          </w14:textFill>
        </w:rPr>
        <w:t>1.4.2 突发事件分级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类突发事件按照其性质、造成损失、危害程度、可控性和影响范围等因素，从高到低一般分为特别重大、重大、较大和一般四个级别。各类突发事件分级标准在相应县级专项应急预案、部门应急预案中予以明确。</w:t>
      </w:r>
      <w:bookmarkStart w:id="34" w:name="_Toc8968"/>
      <w:bookmarkEnd w:id="34"/>
      <w:bookmarkStart w:id="35" w:name="_Toc25274"/>
      <w:bookmarkEnd w:id="3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各类突发事件风险评估及分类分级简要情况应当纳入相应专项应急预案。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36" w:name="_Toc11733"/>
      <w:bookmarkEnd w:id="36"/>
      <w:bookmarkStart w:id="37" w:name="_Toc27029"/>
      <w:bookmarkEnd w:id="37"/>
      <w:bookmarkStart w:id="38" w:name="_Toc12170"/>
      <w:bookmarkEnd w:id="38"/>
      <w:bookmarkStart w:id="39" w:name="_Toc12567"/>
      <w:bookmarkEnd w:id="39"/>
      <w:bookmarkStart w:id="40" w:name="_Toc3986"/>
      <w:bookmarkStart w:id="41" w:name="_Toc18125"/>
      <w:bookmarkStart w:id="42" w:name="_Toc25696"/>
      <w:r>
        <w:rPr>
          <w:rFonts w:eastAsia="楷体_GB2312"/>
          <w:color w:val="000000" w:themeColor="text1"/>
          <w:sz w:val="32"/>
          <w:szCs w:val="32"/>
          <w14:textFill>
            <w14:solidFill>
              <w14:schemeClr w14:val="tx1"/>
            </w14:solidFill>
          </w14:textFill>
        </w:rPr>
        <w:t>1.5 分级应对</w:t>
      </w:r>
      <w:bookmarkEnd w:id="40"/>
      <w:bookmarkEnd w:id="41"/>
      <w:bookmarkEnd w:id="4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突发事件应对遵循分级负责、属地为主、分类应对、协调联动的原则，当突发事件超出属地政府的应对能力时，由上一级政府负责应对。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43" w:name="_Toc24499"/>
      <w:bookmarkEnd w:id="43"/>
      <w:bookmarkStart w:id="44" w:name="_Toc27783"/>
      <w:bookmarkEnd w:id="44"/>
      <w:bookmarkStart w:id="45" w:name="_Toc6315"/>
      <w:bookmarkEnd w:id="45"/>
      <w:bookmarkStart w:id="46" w:name="_Toc28027"/>
      <w:bookmarkEnd w:id="46"/>
      <w:bookmarkStart w:id="47" w:name="_Toc6629"/>
      <w:bookmarkEnd w:id="47"/>
      <w:bookmarkStart w:id="48" w:name="_Toc3220"/>
      <w:bookmarkEnd w:id="48"/>
      <w:bookmarkStart w:id="49" w:name="_Toc5566"/>
      <w:bookmarkStart w:id="50" w:name="_Toc22104"/>
      <w:r>
        <w:rPr>
          <w:rFonts w:eastAsia="仿宋_GB2312"/>
          <w:color w:val="000000" w:themeColor="text1"/>
          <w:sz w:val="32"/>
          <w:szCs w:val="32"/>
          <w14:textFill>
            <w14:solidFill>
              <w14:schemeClr w14:val="tx1"/>
            </w14:solidFill>
          </w14:textFill>
        </w:rPr>
        <w:t>一般突发事件，由事发地乡镇（街道、开发区）组织先期处置，县政府负责应对。涉及跨乡镇（街道、开发区）的，由有关行政区域共同的上级政府负责应对，或者由各有关行政区域的上级政府共同负责应对。乡镇（街道、开发区）负责应对的一般以下突发事件，必要时由县级层面负责响应支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较大、重大和特别重大突发事件或超出我县应对能力的一般突发事件，在县政府组织先期处置工作的同时，报请市政府或相关部门负责应对。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县政府有关部门及各乡镇（街道、开发区）在各自职责范围内，做好相关行业、领域的突发事件应急处置工作。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51" w:name="_Toc15251"/>
      <w:r>
        <w:rPr>
          <w:rFonts w:eastAsia="楷体_GB2312"/>
          <w:color w:val="000000" w:themeColor="text1"/>
          <w:sz w:val="32"/>
          <w:szCs w:val="32"/>
          <w14:textFill>
            <w14:solidFill>
              <w14:schemeClr w14:val="tx1"/>
            </w14:solidFill>
          </w14:textFill>
        </w:rPr>
        <w:t>1.6 响应分级</w:t>
      </w:r>
      <w:bookmarkEnd w:id="49"/>
      <w:bookmarkEnd w:id="50"/>
      <w:bookmarkEnd w:id="5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突发事件发生后，各级政府及其有关部门，基层组织和单位等根据突发事件初判级别、处置难度、自有处置能力以及预期后果，综合研判确定本层级响应级别，采取相应应急处置措施。对于事件本身比较敏感，或发生在重点地区、重大会议、重大活动期间，可适当提高响应级别。应急响应启动后，可视突发事件事态发展情况及时调整响应级别。</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发生特别重大或重大突发事件（含重特大涉险事件），县人民政府应立即启动最高级别应急响应，进行先期处置，并上报市政府。特殊情况下可越级上报。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发生较大突发事件，县政府立即启动最高级别或次高级别应急响应，进行先期处置，并报告市政府。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发生一般突发事件，事发单位、属地乡镇（街道、开发区）立即启动应急预案进行先期处置和信息上报，接到一般突发事件信息报告后，县政府立即启动应急响应。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对涉及面广、敏感复杂或处置不当易引发严重后果的一般突发事件，根据应对工作需要，县政府可报请启动市级层面相应级别应急响应。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52" w:name="_Toc14443"/>
      <w:bookmarkEnd w:id="52"/>
      <w:bookmarkStart w:id="53" w:name="_Toc31681"/>
      <w:bookmarkEnd w:id="53"/>
      <w:bookmarkStart w:id="54" w:name="_Toc11069"/>
      <w:bookmarkEnd w:id="54"/>
      <w:bookmarkStart w:id="55" w:name="_Toc7114"/>
      <w:bookmarkEnd w:id="55"/>
      <w:bookmarkStart w:id="56" w:name="_Toc4466"/>
      <w:bookmarkEnd w:id="56"/>
      <w:bookmarkStart w:id="57" w:name="_Toc17760"/>
      <w:bookmarkEnd w:id="57"/>
      <w:bookmarkStart w:id="58" w:name="_Toc32722"/>
      <w:bookmarkStart w:id="59" w:name="_Toc22343"/>
      <w:r>
        <w:rPr>
          <w:rFonts w:hint="eastAsia" w:eastAsia="仿宋_GB2312"/>
          <w:color w:val="000000" w:themeColor="text1"/>
          <w:sz w:val="32"/>
          <w:szCs w:val="32"/>
          <w14:textFill>
            <w14:solidFill>
              <w14:schemeClr w14:val="tx1"/>
            </w14:solidFill>
          </w14:textFill>
        </w:rPr>
        <w:t>县级层面应急响应依据突发事件处置难度、现实结果或预期后果等，由高到低分为一级、二级、三级。一级、二级响应由县政府决定启动，三级响应由县级突发事件主要牵头部门决定启动</w:t>
      </w:r>
      <w:r>
        <w:rPr>
          <w:rFonts w:hint="eastAsia" w:eastAsia="仿宋_GB2312"/>
          <w:color w:val="000000" w:themeColor="text1"/>
          <w:sz w:val="32"/>
          <w:szCs w:val="32"/>
          <w:lang w:eastAsia="zh-CN"/>
          <w14:textFill>
            <w14:solidFill>
              <w14:schemeClr w14:val="tx1"/>
            </w14:solidFill>
          </w14:textFill>
        </w:rPr>
        <w:t>。</w:t>
      </w:r>
      <w:r>
        <w:rPr>
          <w:rFonts w:eastAsia="仿宋_GB2312"/>
          <w:color w:val="000000" w:themeColor="text1"/>
          <w:sz w:val="32"/>
          <w:szCs w:val="32"/>
          <w14:textFill>
            <w14:solidFill>
              <w14:schemeClr w14:val="tx1"/>
            </w14:solidFill>
          </w14:textFill>
        </w:rPr>
        <w:t>国家和省、市级层面有特殊规定的，从其规定。县级响应分级标准在相关县级专项应急预案中明确。以上响应启动程序将根据县级层面应急指挥体制机制变化作相应调整。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kern w:val="0"/>
          <w:szCs w:val="32"/>
          <w14:textFill>
            <w14:solidFill>
              <w14:schemeClr w14:val="tx1"/>
            </w14:solidFill>
          </w14:textFill>
        </w:rPr>
      </w:pPr>
      <w:r>
        <w:rPr>
          <w:rFonts w:eastAsia="仿宋_GB2312"/>
          <w:color w:val="000000" w:themeColor="text1"/>
          <w:sz w:val="32"/>
          <w:szCs w:val="32"/>
          <w14:textFill>
            <w14:solidFill>
              <w14:schemeClr w14:val="tx1"/>
            </w14:solidFill>
          </w14:textFill>
        </w:rPr>
        <w:t>乡镇（街道、开发区）响应等级可结合本地实际情况予以明确。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60" w:name="_Toc29806"/>
      <w:r>
        <w:rPr>
          <w:rFonts w:eastAsia="黑体"/>
          <w:color w:val="000000" w:themeColor="text1"/>
          <w:sz w:val="32"/>
          <w:szCs w:val="32"/>
          <w14:textFill>
            <w14:solidFill>
              <w14:schemeClr w14:val="tx1"/>
            </w14:solidFill>
          </w14:textFill>
        </w:rPr>
        <w:t>2  应急预案体系</w:t>
      </w:r>
      <w:bookmarkEnd w:id="58"/>
      <w:bookmarkEnd w:id="59"/>
      <w:bookmarkEnd w:id="6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本县应急预案体系按照制作主体划分为政府及其部门、基层组织和单位制定的各类突发事件应急预案，以及为应急预案提供支撑的应急工作手册和应急行动方案。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61" w:name="_Toc3284"/>
      <w:bookmarkEnd w:id="61"/>
      <w:bookmarkStart w:id="62" w:name="_Toc5892"/>
      <w:bookmarkEnd w:id="62"/>
      <w:bookmarkStart w:id="63" w:name="_Toc3663"/>
      <w:bookmarkEnd w:id="63"/>
      <w:bookmarkStart w:id="64" w:name="_Toc10669"/>
      <w:bookmarkEnd w:id="64"/>
      <w:bookmarkStart w:id="65" w:name="_Toc917"/>
      <w:bookmarkEnd w:id="65"/>
      <w:bookmarkStart w:id="66" w:name="_Toc8395"/>
      <w:bookmarkEnd w:id="66"/>
      <w:bookmarkStart w:id="67" w:name="_Toc1729"/>
      <w:bookmarkStart w:id="68" w:name="_Toc16885"/>
      <w:bookmarkStart w:id="69" w:name="_Toc24949"/>
      <w:r>
        <w:rPr>
          <w:rFonts w:eastAsia="楷体_GB2312"/>
          <w:color w:val="000000" w:themeColor="text1"/>
          <w:sz w:val="32"/>
          <w:szCs w:val="32"/>
          <w14:textFill>
            <w14:solidFill>
              <w14:schemeClr w14:val="tx1"/>
            </w14:solidFill>
          </w14:textFill>
        </w:rPr>
        <w:t>2.1  应急预案</w:t>
      </w:r>
      <w:bookmarkEnd w:id="67"/>
      <w:bookmarkEnd w:id="68"/>
      <w:bookmarkEnd w:id="6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70" w:name="_Toc19997"/>
      <w:bookmarkEnd w:id="70"/>
      <w:bookmarkStart w:id="71" w:name="_Toc15848"/>
      <w:bookmarkEnd w:id="71"/>
      <w:bookmarkStart w:id="72" w:name="_Toc31768"/>
      <w:bookmarkEnd w:id="72"/>
      <w:bookmarkStart w:id="73" w:name="_Toc29699"/>
      <w:bookmarkEnd w:id="73"/>
      <w:bookmarkStart w:id="74" w:name="_Toc26101"/>
      <w:bookmarkEnd w:id="74"/>
      <w:bookmarkStart w:id="75" w:name="_Toc7313"/>
      <w:bookmarkEnd w:id="75"/>
      <w:bookmarkStart w:id="76" w:name="_Toc9056"/>
      <w:bookmarkStart w:id="77" w:name="_Toc1256"/>
      <w:r>
        <w:rPr>
          <w:rFonts w:eastAsia="仿宋_GB2312"/>
          <w:color w:val="000000" w:themeColor="text1"/>
          <w:sz w:val="32"/>
          <w:szCs w:val="32"/>
          <w14:textFill>
            <w14:solidFill>
              <w14:schemeClr w14:val="tx1"/>
            </w14:solidFill>
          </w14:textFill>
        </w:rPr>
        <w:t>县、乡镇（街道、开发区）及其部门应急预案包括总体应急预案、专项应急预案、部门应急预案等。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乡镇（街道、开发区）根据有关规定，做好风险研判，参照县级预案制定乡镇（街道、开发区）相应预案。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（1）总体应急预案是应急预案体系的总纲，是政府组织应对各类突发事件的总体制度安排，由本级政府制定。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专项应急预案是政府为应对某一类型或某几种类型突发事件，或者针对重要目标物保护、重大活动保障、应急资源保障等重要专项工作而预先制定的涉及多个部门职责的工作方案，由有关部门牵头制定，报本级政府批准后印发实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（3）</w:t>
      </w:r>
      <w:r>
        <w:rPr>
          <w:rFonts w:eastAsia="仿宋_GB2312"/>
          <w:color w:val="000000" w:themeColor="text1"/>
          <w:kern w:val="0"/>
          <w:sz w:val="32"/>
          <w:szCs w:val="32"/>
          <w14:textFill>
            <w14:solidFill>
              <w14:schemeClr w14:val="tx1"/>
            </w14:solidFill>
          </w14:textFill>
        </w:rPr>
        <w:t>部门应急预案是政府有关部门根据总体应急预案、专项应急预案和部门职责，为应对本部门（行业、领域）突发事件，或者针对重要目标物保护、重大活动保障、应急资源保障等涉及本部门工作而预先制定的工作方案，由政府有关主管部门制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CESI仿宋-GB2312"/>
          <w:color w:val="000000" w:themeColor="text1"/>
          <w:kern w:val="0"/>
          <w:sz w:val="32"/>
          <w:szCs w:val="32"/>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（4）</w:t>
      </w:r>
      <w:r>
        <w:rPr>
          <w:rFonts w:eastAsia="仿宋_GB2312"/>
          <w:color w:val="000000" w:themeColor="text1"/>
          <w:kern w:val="0"/>
          <w:sz w:val="32"/>
          <w:szCs w:val="32"/>
          <w14:textFill>
            <w14:solidFill>
              <w14:schemeClr w14:val="tx1"/>
            </w14:solidFill>
          </w14:textFill>
        </w:rPr>
        <w:t>乡镇（街道、开发区）应急预案，可根据实际情况适当简化，侧重明确突发事件的预警信息传播、组织先期处置和自救互救、信息报告、人员安置等内容，突出可操作性和现场处置的特点。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（5）基层组织和单位应急预案，由机关、企业、事业单位、社会组织和村（居）民委员会等制定，主要针对本单位和基层组织面临的风险，规范突发事件应对工作。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（6）大型群众性活动由承办部门（单位）负责编制应急预案。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78" w:name="_Toc10507"/>
      <w:r>
        <w:rPr>
          <w:rFonts w:eastAsia="楷体_GB2312"/>
          <w:color w:val="000000" w:themeColor="text1"/>
          <w:sz w:val="32"/>
          <w:szCs w:val="32"/>
          <w14:textFill>
            <w14:solidFill>
              <w14:schemeClr w14:val="tx1"/>
            </w14:solidFill>
          </w14:textFill>
        </w:rPr>
        <w:t>2.2  应急预案支撑文件</w:t>
      </w:r>
      <w:bookmarkEnd w:id="76"/>
      <w:bookmarkEnd w:id="77"/>
      <w:bookmarkEnd w:id="7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各级各类应急预案涉及的相关单位要结合实际，制定配套工作手册、事件行动方案等多种形式的支撑性文件，提高应急预案的针对性、可操作性。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应急工作手册是预案涉及的有关部门和单位对自身承担职责任务进一步分解细化的工作方案，是本部门和单位应对突发事件的工作指引。县政府及其部门应急预案涉及的有关部门和单位要编制相应工作手册，把每一项职责任务细化、具体化，明确工作内容和流程，并落实到具体责任单位、具体责任人。基层组织和单位应急预案涉及有关方面可根据自身实际情况，可单独编制工作手册，也可将有关内容融入应急预案，合并编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事件行动方案是参与事件应对的救援队伍、专家队伍等按照应急预案、工作手册或上级指挥机构要求，为执行具体任务而制定的工作安排。事件行动方案要明确队伍编成、力量预置、指挥协同、行动设计、后勤保障、通信联络等具体内容，以及采取的具体对策措施和实施步骤。</w:t>
      </w:r>
      <w:bookmarkStart w:id="79" w:name="_Toc27013"/>
      <w:bookmarkEnd w:id="79"/>
      <w:bookmarkStart w:id="80" w:name="_Toc32755"/>
      <w:bookmarkEnd w:id="8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81" w:name="_Toc5225"/>
      <w:bookmarkEnd w:id="81"/>
      <w:bookmarkStart w:id="82" w:name="_Toc13572"/>
      <w:bookmarkEnd w:id="82"/>
      <w:bookmarkStart w:id="83" w:name="_Toc6374"/>
      <w:bookmarkEnd w:id="83"/>
      <w:bookmarkStart w:id="84" w:name="_Toc15304"/>
      <w:bookmarkEnd w:id="84"/>
      <w:bookmarkStart w:id="85" w:name="_Toc26102"/>
      <w:bookmarkStart w:id="86" w:name="_Toc30315"/>
      <w:bookmarkStart w:id="87" w:name="_Toc4298"/>
      <w:r>
        <w:rPr>
          <w:rFonts w:eastAsia="黑体"/>
          <w:color w:val="000000" w:themeColor="text1"/>
          <w:sz w:val="32"/>
          <w:szCs w:val="32"/>
          <w14:textFill>
            <w14:solidFill>
              <w14:schemeClr w14:val="tx1"/>
            </w14:solidFill>
          </w14:textFill>
        </w:rPr>
        <w:t>3  组织指挥体系</w:t>
      </w:r>
      <w:bookmarkEnd w:id="85"/>
      <w:bookmarkEnd w:id="86"/>
      <w:bookmarkEnd w:id="8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88" w:name="_Toc9515"/>
      <w:bookmarkEnd w:id="88"/>
      <w:bookmarkStart w:id="89" w:name="_Toc18585"/>
      <w:bookmarkEnd w:id="89"/>
      <w:bookmarkStart w:id="90" w:name="_Toc5598"/>
      <w:bookmarkStart w:id="91" w:name="_Toc2821"/>
      <w:bookmarkStart w:id="92" w:name="_Toc29987"/>
      <w:r>
        <w:rPr>
          <w:rFonts w:eastAsia="楷体_GB2312"/>
          <w:color w:val="000000" w:themeColor="text1"/>
          <w:sz w:val="32"/>
          <w:szCs w:val="32"/>
          <w14:textFill>
            <w14:solidFill>
              <w14:schemeClr w14:val="tx1"/>
            </w14:solidFill>
          </w14:textFill>
        </w:rPr>
        <w:t>3.1县级领导机制</w:t>
      </w:r>
      <w:bookmarkEnd w:id="90"/>
      <w:bookmarkEnd w:id="91"/>
      <w:bookmarkEnd w:id="9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93" w:name="_Toc15652"/>
      <w:bookmarkEnd w:id="93"/>
      <w:bookmarkStart w:id="94" w:name="_Toc28945"/>
      <w:bookmarkEnd w:id="94"/>
      <w:r>
        <w:rPr>
          <w:rFonts w:eastAsia="仿宋_GB2312"/>
          <w:color w:val="000000" w:themeColor="text1"/>
          <w:sz w:val="32"/>
          <w:szCs w:val="32"/>
          <w14:textFill>
            <w14:solidFill>
              <w14:schemeClr w14:val="tx1"/>
            </w14:solidFill>
          </w14:textFill>
        </w:rPr>
        <w:t>县政府研究部署本行政区域内的各类突发事件防范应对工作。当发生一般及以上突发事件，根据上级党委、政府有关要求和应对处置工作需要，由县委、县政府决定成立总指挥部，统一领导、组织指挥应对工作。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95" w:name="_Toc19128"/>
      <w:bookmarkStart w:id="96" w:name="_Toc22440"/>
      <w:bookmarkStart w:id="97" w:name="_Toc13058"/>
      <w:r>
        <w:rPr>
          <w:rFonts w:eastAsia="楷体_GB2312"/>
          <w:color w:val="000000" w:themeColor="text1"/>
          <w:sz w:val="32"/>
          <w:szCs w:val="32"/>
          <w14:textFill>
            <w14:solidFill>
              <w14:schemeClr w14:val="tx1"/>
            </w14:solidFill>
          </w14:textFill>
        </w:rPr>
        <w:t>3.2县级专项应急指挥机构（机制）</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类突发事件指导协调和组织应对工作由县专项应急指挥机构（机制）负责。县专项应急指挥机构（机制）总指挥由县政府指定的负责同志担任，成员由承担突发事件防范处置职责的县政府有关部门负责同志组成，综合工作由主要牵头部门承担。专项应急指挥机构（机制）办公室设在突发事件防范处置的主要牵头部门，负责专项应急指挥机构（机制）日常工作及交办事务，并做好与相关专项应急指挥机构（机制）的衔接。对可能危及国家安全的突发事件，有关县专项应急指挥机构（机制）应加强与国家、省、市安全相关工作机制衔接，在国家、省、市安全领导机构的统一部署下开展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98" w:name="_Toc16288"/>
      <w:bookmarkStart w:id="99" w:name="_Toc32170"/>
      <w:bookmarkStart w:id="100" w:name="_Toc24330"/>
      <w:r>
        <w:rPr>
          <w:rFonts w:eastAsia="楷体_GB2312"/>
          <w:color w:val="000000" w:themeColor="text1"/>
          <w:sz w:val="32"/>
          <w:szCs w:val="32"/>
          <w14:textFill>
            <w14:solidFill>
              <w14:schemeClr w14:val="tx1"/>
            </w14:solidFill>
          </w14:textFill>
        </w:rPr>
        <w:t>3.3</w:t>
      </w:r>
      <w:bookmarkStart w:id="101" w:name="_Toc23937"/>
      <w:bookmarkEnd w:id="101"/>
      <w:bookmarkStart w:id="102" w:name="_Toc11634"/>
      <w:bookmarkEnd w:id="102"/>
      <w:bookmarkStart w:id="103" w:name="_Toc15646"/>
      <w:bookmarkEnd w:id="103"/>
      <w:r>
        <w:rPr>
          <w:rFonts w:eastAsia="楷体_GB2312"/>
          <w:color w:val="000000" w:themeColor="text1"/>
          <w:sz w:val="32"/>
          <w:szCs w:val="32"/>
          <w14:textFill>
            <w14:solidFill>
              <w14:schemeClr w14:val="tx1"/>
            </w14:solidFill>
          </w14:textFill>
        </w:rPr>
        <w:t>  县级工作机构</w:t>
      </w:r>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县级有关部门按照职责分工负责本部门突发事件应急管理工作，承担相关类别突发事件专项和部门应急预案的起草与实施，组织协调指导风险防控、应急准备、监测预警、应急处置与救援、资源保障以及恢复重建等工作，承担相关专项应急指挥机构（机制）综合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04" w:name="_Toc5787"/>
      <w:bookmarkEnd w:id="104"/>
      <w:bookmarkStart w:id="105" w:name="_Toc2013"/>
      <w:bookmarkEnd w:id="105"/>
      <w:bookmarkStart w:id="106" w:name="_Toc8689"/>
      <w:bookmarkEnd w:id="106"/>
      <w:bookmarkStart w:id="107" w:name="_Toc28103"/>
      <w:bookmarkStart w:id="108" w:name="_Toc28209"/>
      <w:bookmarkStart w:id="109" w:name="_Toc1031"/>
      <w:r>
        <w:rPr>
          <w:rFonts w:eastAsia="楷体_GB2312"/>
          <w:color w:val="000000" w:themeColor="text1"/>
          <w:sz w:val="32"/>
          <w:szCs w:val="32"/>
          <w14:textFill>
            <w14:solidFill>
              <w14:schemeClr w14:val="tx1"/>
            </w14:solidFill>
          </w14:textFill>
        </w:rPr>
        <w:t>3.4  联合应急指挥部</w:t>
      </w:r>
      <w:bookmarkEnd w:id="107"/>
      <w:bookmarkEnd w:id="108"/>
      <w:bookmarkEnd w:id="10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10" w:name="_Toc28582"/>
      <w:bookmarkEnd w:id="110"/>
      <w:bookmarkStart w:id="111" w:name="_Toc20447"/>
      <w:bookmarkEnd w:id="111"/>
      <w:bookmarkStart w:id="112" w:name="_Toc14933"/>
      <w:bookmarkEnd w:id="112"/>
      <w:bookmarkStart w:id="113" w:name="_Toc5682"/>
      <w:bookmarkEnd w:id="113"/>
      <w:bookmarkStart w:id="114" w:name="_Toc13541"/>
      <w:bookmarkEnd w:id="114"/>
      <w:bookmarkStart w:id="115" w:name="_Toc6819"/>
      <w:bookmarkStart w:id="116" w:name="_Toc18151"/>
      <w:r>
        <w:rPr>
          <w:rFonts w:eastAsia="仿宋_GB2312"/>
          <w:color w:val="000000" w:themeColor="text1"/>
          <w:sz w:val="32"/>
          <w:szCs w:val="32"/>
          <w14:textFill>
            <w14:solidFill>
              <w14:schemeClr w14:val="tx1"/>
            </w14:solidFill>
          </w14:textFill>
        </w:rPr>
        <w:t>对需要与相邻县（区）联合应对的突发事件，市政府及其部门未启动响应机制时，我县与相邻县（区）联合成立应急指挥机制，双方（或多方）有关负责同志共同担任总指挥，共同指挥协调突发事件处置工作。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对需要相邻乡镇（街道、开发区）联合应对的突发事件，县政府及其部门未启动响应机制时，相邻乡镇（街道、开发区）联合成立应急指挥机制，双方（或多方）有关负责同志共同担任总指挥，共同指挥协调突发事件处置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17" w:name="_Toc13114"/>
      <w:r>
        <w:rPr>
          <w:rFonts w:eastAsia="楷体_GB2312"/>
          <w:color w:val="000000" w:themeColor="text1"/>
          <w:sz w:val="32"/>
          <w:szCs w:val="32"/>
          <w14:textFill>
            <w14:solidFill>
              <w14:schemeClr w14:val="tx1"/>
            </w14:solidFill>
          </w14:textFill>
        </w:rPr>
        <w:t>3.5 组织指挥机制</w:t>
      </w:r>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3.5.1组织领导机制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18" w:name="_Toc430"/>
      <w:bookmarkEnd w:id="118"/>
      <w:bookmarkStart w:id="119" w:name="_Toc8180"/>
      <w:bookmarkEnd w:id="119"/>
      <w:bookmarkStart w:id="120" w:name="_Toc2064"/>
      <w:bookmarkStart w:id="121" w:name="_Toc963"/>
      <w:r>
        <w:rPr>
          <w:rFonts w:eastAsia="仿宋_GB2312"/>
          <w:color w:val="000000" w:themeColor="text1"/>
          <w:sz w:val="32"/>
          <w:szCs w:val="32"/>
          <w14:textFill>
            <w14:solidFill>
              <w14:schemeClr w14:val="tx1"/>
            </w14:solidFill>
          </w14:textFill>
        </w:rPr>
        <w:t>县政府应当进一步完善应急管理领导体制和突发事件应急指挥机制，贯彻落实上级党委、政府关于应急管理工作的决策部署，统筹制定本行政区域应急管理政策措施，研究解决本级应急管理体系规划、风险防控、应急准备、考核、奖惩等重大问题，组织防范和应对本行政区域内的各类突发事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乡镇（街道、开发区）要结合实际强化应急管理职责，应明确应急管理机构，配备专（兼）职工作人员。重点做好预警信息传播、人员疏散通知、公众自救互救、信息报告和先期处置、配合处置、后勤保障等工作。村（居）民委员会协助做好村（社区）应急管理相关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3.5.2镇街专项应急指挥机构（机制）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乡镇（街道、开发区）参照县级专项应急指挥机构（机制），根据本行政区域应对突发事件工作需要，建立专项应急指挥机构（机制），承担相关类别突发事件防范应对和组织指挥等工作。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相邻的乡镇（街道、开发区）应建立应急联动机制，共同做好区域性、流域性、关联性强的相应突发事件监测信息汇总报告工作。根据突发事件种类做好防范应对工作。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22" w:name="_Toc20310"/>
      <w:r>
        <w:rPr>
          <w:rFonts w:eastAsia="楷体_GB2312"/>
          <w:color w:val="000000" w:themeColor="text1"/>
          <w:sz w:val="32"/>
          <w:szCs w:val="32"/>
          <w14:textFill>
            <w14:solidFill>
              <w14:schemeClr w14:val="tx1"/>
            </w14:solidFill>
          </w14:textFill>
        </w:rPr>
        <w:t>3.6</w:t>
      </w:r>
      <w:bookmarkStart w:id="123" w:name="_Toc16851"/>
      <w:bookmarkEnd w:id="123"/>
      <w:r>
        <w:rPr>
          <w:rFonts w:eastAsia="楷体_GB2312"/>
          <w:color w:val="000000" w:themeColor="text1"/>
          <w:sz w:val="32"/>
          <w:szCs w:val="32"/>
          <w14:textFill>
            <w14:solidFill>
              <w14:schemeClr w14:val="tx1"/>
            </w14:solidFill>
          </w14:textFill>
        </w:rPr>
        <w:t>现场指挥机构</w:t>
      </w:r>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突发事件发生后，乡镇（街道、开发区）根据突发事件处置需要，设立由本级政府负责同志、相关部门负责同志组成的现场指挥机构，组织开展现场先期处置和后勤保障等工作。特别重大、重大、较大突发事件发生后，县政府设立现场指挥机构，组织开展先期处置工作，并接受上级政府现场指挥机构的统一指挥；一般突发事件发生后，县政府设立现场指挥机构，组织、指挥、协调突发事件现场应急处置工作。现场指挥机构按照有关规定和要求成立临时党组织，加强党对应急工作的领导。</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现场指挥机构可根据需要设立综合协调组、抢险救援组、灾害监测组、交通管控组、医疗救治组、物资保障组、宣传舆情组、善后救助组、专家支持组等工作组（具体编组视工作需要确定）。各工作组主要承担以下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24" w:name="_Toc16163"/>
      <w:bookmarkEnd w:id="124"/>
      <w:bookmarkStart w:id="125" w:name="_Toc305"/>
      <w:bookmarkEnd w:id="125"/>
      <w:bookmarkStart w:id="126" w:name="_Toc24393"/>
      <w:bookmarkEnd w:id="126"/>
      <w:bookmarkStart w:id="127" w:name="_Toc26630"/>
      <w:bookmarkEnd w:id="127"/>
      <w:bookmarkStart w:id="128" w:name="_Toc19486"/>
      <w:bookmarkEnd w:id="128"/>
      <w:bookmarkStart w:id="129" w:name="_Toc28396"/>
      <w:bookmarkEnd w:id="129"/>
      <w:bookmarkStart w:id="130" w:name="_Toc17449"/>
      <w:bookmarkStart w:id="131" w:name="_Toc18549"/>
      <w:r>
        <w:rPr>
          <w:rFonts w:eastAsia="仿宋_GB2312"/>
          <w:color w:val="000000" w:themeColor="text1"/>
          <w:sz w:val="32"/>
          <w:szCs w:val="32"/>
          <w14:textFill>
            <w14:solidFill>
              <w14:schemeClr w14:val="tx1"/>
            </w14:solidFill>
          </w14:textFill>
        </w:rPr>
        <w:t>综合协调组：负责综合协调、督导检查、会议组织、会议纪要、信息简报、综合文字，资料收集归档，抢险救援证件印制发放，处置信息调度、汇总、上报，与上级工作组的协调联络等工作。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抢险救援组：负责制定现场抢险救援方案；根据灾情变化，适时提出调整抢险救援方案；协调调度救援力量、救援装备参与抢险救援；根据救援情况变化，调整充实应急救援专家；组织协调现场应急处置有关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灾害监测组：负责组织灾害风险监测，指导防范次生衍生灾害；调度相关技术力量和设备，监视灾情发展；指导灾害防御和风险隐患的监测预警等工作。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交通管控组：负责划定现场警戒区域，做好应急救援力量赴灾区和撤离时的交通保障工作</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确定疏散撤离路线，引导无关人员自</w:t>
      </w:r>
      <w:r>
        <w:rPr>
          <w:rFonts w:eastAsia="仿宋_GB2312"/>
          <w:color w:val="000000" w:themeColor="text1"/>
          <w:sz w:val="32"/>
          <w:szCs w:val="32"/>
          <w14:textFill>
            <w14:solidFill>
              <w14:schemeClr w14:val="tx1"/>
            </w14:solidFill>
          </w14:textFill>
        </w:rPr>
        <w:t>事故区域</w:t>
      </w:r>
      <w:r>
        <w:rPr>
          <w:rFonts w:hint="eastAsia" w:eastAsia="仿宋_GB2312"/>
          <w:color w:val="000000" w:themeColor="text1"/>
          <w:sz w:val="32"/>
          <w:szCs w:val="32"/>
          <w:lang w:val="en-US" w:eastAsia="zh-CN"/>
          <w14:textFill>
            <w14:solidFill>
              <w14:schemeClr w14:val="tx1"/>
            </w14:solidFill>
          </w14:textFill>
        </w:rPr>
        <w:t>和事故警戒区安全有</w:t>
      </w:r>
      <w:r>
        <w:rPr>
          <w:rFonts w:eastAsia="仿宋_GB2312"/>
          <w:color w:val="000000" w:themeColor="text1"/>
          <w:sz w:val="32"/>
          <w:szCs w:val="32"/>
          <w14:textFill>
            <w14:solidFill>
              <w14:schemeClr w14:val="tx1"/>
            </w14:solidFill>
          </w14:textFill>
        </w:rPr>
        <w:t>序疏散</w:t>
      </w:r>
      <w:r>
        <w:rPr>
          <w:rFonts w:hint="eastAsia" w:eastAsia="仿宋_GB2312"/>
          <w:color w:val="000000" w:themeColor="text1"/>
          <w:sz w:val="32"/>
          <w:szCs w:val="32"/>
          <w:lang w:val="en-US" w:eastAsia="zh-CN"/>
          <w14:textFill>
            <w14:solidFill>
              <w14:schemeClr w14:val="tx1"/>
            </w14:solidFill>
          </w14:textFill>
        </w:rPr>
        <w:t>撤离</w:t>
      </w:r>
      <w:r>
        <w:rPr>
          <w:rFonts w:eastAsia="仿宋_GB2312"/>
          <w:color w:val="000000" w:themeColor="text1"/>
          <w:sz w:val="32"/>
          <w:szCs w:val="32"/>
          <w14:textFill>
            <w14:solidFill>
              <w14:schemeClr w14:val="tx1"/>
            </w14:solidFill>
          </w14:textFill>
        </w:rPr>
        <w:t>。指导灾区道路抢通抢修；协调抢险救灾物资、救援装备以及基本生活物资等交通应急通行保障；负责事故抢险救援现场、现场指挥部、工作组驻地、受灾民众集中安置点等安全保卫和外围交通管控等工作。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医疗救治组：负责组织指导医疗救治、卫生防疫、心理援助工作；统筹协调医疗卫生专家、卫生应急队伍，支持事发地医疗卫生处置工作。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物资保障组：负责应急处置所需的物资、装备、资金、交通、通信、电力的供应；</w:t>
      </w:r>
      <w:r>
        <w:rPr>
          <w:rFonts w:hint="eastAsia" w:eastAsia="仿宋_GB2312"/>
          <w:color w:val="000000" w:themeColor="text1"/>
          <w:sz w:val="32"/>
          <w:szCs w:val="32"/>
          <w14:textFill>
            <w14:solidFill>
              <w14:schemeClr w14:val="tx1"/>
            </w14:solidFill>
          </w14:textFill>
        </w:rPr>
        <w:t>负责应急疏散和撤离时人员所需的物资和救护用品的协调工作；</w:t>
      </w:r>
      <w:r>
        <w:rPr>
          <w:rFonts w:eastAsia="仿宋_GB2312"/>
          <w:color w:val="000000" w:themeColor="text1"/>
          <w:sz w:val="32"/>
          <w:szCs w:val="32"/>
          <w14:textFill>
            <w14:solidFill>
              <w14:schemeClr w14:val="tx1"/>
            </w14:solidFill>
          </w14:textFill>
        </w:rPr>
        <w:t>负责现场指挥部的搭建工作，为现场指挥部正常运行和应急处置人员做好工作、生活等保障工作。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宣传舆情组：负责发布权威信息，安排新闻发布，接待媒体记者采访，协调处理与媒体间的相关事宜等工作；组织开展舆情监测研判，负责网络媒体管理和舆论引导，及时回应社会关切。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善后救助组：负责组织开展遇难人员善后和赔偿、征用物资补偿工作；负责下拨政府救灾款物并指导发放；统筹灾区生活必需品市场供应；负责群众紧急疏散安置以及疏散安置人员的生活保障、过渡期救助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Cs w:val="32"/>
          <w14:textFill>
            <w14:solidFill>
              <w14:schemeClr w14:val="tx1"/>
            </w14:solidFill>
          </w14:textFill>
        </w:rPr>
      </w:pPr>
      <w:r>
        <w:rPr>
          <w:rFonts w:eastAsia="仿宋_GB2312"/>
          <w:color w:val="000000" w:themeColor="text1"/>
          <w:sz w:val="32"/>
          <w:szCs w:val="32"/>
          <w14:textFill>
            <w14:solidFill>
              <w14:schemeClr w14:val="tx1"/>
            </w14:solidFill>
          </w14:textFill>
        </w:rPr>
        <w:t>专家支持组：负责组织现场灾情会商研判，提供技术支持，指导现场监测预警和隐患排查工作；指导地方开展灾情调查和灾损评估；参与制定抢险救援方案。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32" w:name="_Toc24856"/>
      <w:r>
        <w:rPr>
          <w:rFonts w:eastAsia="楷体_GB2312"/>
          <w:color w:val="000000" w:themeColor="text1"/>
          <w:sz w:val="32"/>
          <w:szCs w:val="32"/>
          <w14:textFill>
            <w14:solidFill>
              <w14:schemeClr w14:val="tx1"/>
            </w14:solidFill>
          </w14:textFill>
        </w:rPr>
        <w:t>3.7专家组</w:t>
      </w:r>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县政府及其有关部门应建立突发事件应急管理专家库，根据需要抽调有关专家组成专家组，开展突发事件应急处置、调查评估等决策咨询服务工作。县应急管理局会同有关部门单位建立应急管理专家会议制度，研究应急管理有关重大问题，提出全局性、前瞻性对策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133" w:name="_Toc20569"/>
      <w:bookmarkEnd w:id="133"/>
      <w:bookmarkStart w:id="134" w:name="_Toc19416"/>
      <w:bookmarkEnd w:id="134"/>
      <w:bookmarkStart w:id="135" w:name="_Toc6651"/>
      <w:bookmarkEnd w:id="135"/>
      <w:bookmarkStart w:id="136" w:name="_Toc9294"/>
      <w:bookmarkEnd w:id="136"/>
      <w:bookmarkStart w:id="137" w:name="_Toc3043"/>
      <w:bookmarkEnd w:id="137"/>
      <w:bookmarkStart w:id="138" w:name="_Toc24031"/>
      <w:bookmarkEnd w:id="138"/>
      <w:bookmarkStart w:id="139" w:name="_Toc14151"/>
      <w:bookmarkStart w:id="140" w:name="_Toc9565"/>
      <w:bookmarkStart w:id="141" w:name="_Toc11475"/>
      <w:r>
        <w:rPr>
          <w:rFonts w:eastAsia="黑体"/>
          <w:color w:val="000000" w:themeColor="text1"/>
          <w:sz w:val="32"/>
          <w:szCs w:val="32"/>
          <w14:textFill>
            <w14:solidFill>
              <w14:schemeClr w14:val="tx1"/>
            </w14:solidFill>
          </w14:textFill>
        </w:rPr>
        <w:t>4运行机制</w:t>
      </w:r>
      <w:bookmarkEnd w:id="139"/>
      <w:bookmarkEnd w:id="140"/>
      <w:bookmarkEnd w:id="14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县、乡镇（街道、开发区）要建立健全应对突发事件的风险防控、监测预警、信息报告、应急处置、恢复重建等工作机制。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42" w:name="_Toc11791"/>
      <w:bookmarkEnd w:id="142"/>
      <w:bookmarkStart w:id="143" w:name="_Toc16090"/>
      <w:bookmarkEnd w:id="143"/>
      <w:bookmarkStart w:id="144" w:name="_Toc17773"/>
      <w:bookmarkEnd w:id="144"/>
      <w:bookmarkStart w:id="145" w:name="_Toc7405"/>
      <w:bookmarkEnd w:id="145"/>
      <w:bookmarkStart w:id="146" w:name="_Toc32587"/>
      <w:bookmarkEnd w:id="146"/>
      <w:bookmarkStart w:id="147" w:name="_Toc10714"/>
      <w:bookmarkEnd w:id="147"/>
      <w:bookmarkStart w:id="148" w:name="_Toc6475"/>
      <w:bookmarkStart w:id="149" w:name="_Toc9248"/>
      <w:bookmarkStart w:id="150" w:name="_Toc2273"/>
      <w:r>
        <w:rPr>
          <w:rFonts w:eastAsia="楷体_GB2312"/>
          <w:color w:val="000000" w:themeColor="text1"/>
          <w:sz w:val="32"/>
          <w:szCs w:val="32"/>
          <w14:textFill>
            <w14:solidFill>
              <w14:schemeClr w14:val="tx1"/>
            </w14:solidFill>
          </w14:textFill>
        </w:rPr>
        <w:t>4.1风险防控</w:t>
      </w:r>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县、乡镇（街道、开发区）要建立完善突发事件风险调查和评估制度，依法对各类风险点、危险源、危险区域进行调查、辨识、评估、分级、登记，建立台账，定期检查、监控，责令有关单位采取安全防范措施，建立健全信息共享机制，按照有关规定及时向社会公布相关信息。有关部门要按照职责分工对可能发生的突发事件进行综合性评估，研究制定风险分级分类标准和管理办法。突发事件应对主要职责部门每年年底前对下一年度突发事件发展趋势进行研判和预测分析，提出防范措施建议，报本级政府，抄送应急管理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县、乡镇（街道、开发区）要统筹建立完善社区、村（居）、重点单位风险防控体系。有关部门要及时发现和处置各类风险隐患，落实风险管控措施。对重大风险和危险源，制定专项防控措施和应急预案，做好监控和应急准备工作。重点行业和领域采取风险分级管控和隐患排查治理双重预防工作机制；对一些影响大、群众反映强烈的普遍性和倾向性社会矛盾问题，要研究采取治本措施，力求从源头上解决；必要时要立即向本级政府报告，并向上级政府有关部门及当地驻军和可能受到危害的毗邻或相关地区的政府通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重要物资储备库、重点水利水电工程、重大油气储运设施、铁路客运专线和繁忙干线、重要地下设施（人防）、重要输变电工程、大型桥梁隧道、重要通信枢纽、支付清算系统等重大关键基础设施设计单位要科学选址、优化布局，实施风险评估、可行性论证，增强防灾抗灾和风险管控能力；运营和维护单位要建立完善日常安全和风险管理制度；各级政府及有关单位要加强安全监督检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w:t>
      </w:r>
      <w:bookmarkStart w:id="151" w:name="_Toc11215"/>
      <w:bookmarkEnd w:id="151"/>
      <w:bookmarkStart w:id="152" w:name="_Toc3196"/>
      <w:bookmarkEnd w:id="152"/>
      <w:r>
        <w:rPr>
          <w:rFonts w:eastAsia="仿宋_GB2312"/>
          <w:color w:val="000000" w:themeColor="text1"/>
          <w:sz w:val="32"/>
          <w:szCs w:val="32"/>
          <w14:textFill>
            <w14:solidFill>
              <w14:schemeClr w14:val="tx1"/>
            </w14:solidFill>
          </w14:textFill>
        </w:rPr>
        <w:t>各级政府及有关部门须充分考虑公共安全风险因素，坚持底线思维，统筹安排应对突发事件所必需的设备和基础设施建设。要加强城乡防灾减灾能力建设，抓好以源头治理为重点的安全生产基础能力建设，完善城乡以医疗救治体系和疾病预防控制为重点的公共卫生保障体系，健全以利益协调机制、诉求表达机制、矛盾调处化解机制为重点的社会安全基础能力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53" w:name="_Toc5273"/>
      <w:bookmarkEnd w:id="153"/>
      <w:bookmarkStart w:id="154" w:name="_Toc26012"/>
      <w:bookmarkEnd w:id="154"/>
      <w:bookmarkStart w:id="155" w:name="_Toc11201"/>
      <w:bookmarkStart w:id="156" w:name="_Toc26941"/>
      <w:bookmarkStart w:id="157" w:name="_Toc28859"/>
      <w:r>
        <w:rPr>
          <w:rFonts w:eastAsia="楷体_GB2312"/>
          <w:color w:val="000000" w:themeColor="text1"/>
          <w:sz w:val="32"/>
          <w:szCs w:val="32"/>
          <w14:textFill>
            <w14:solidFill>
              <w14:schemeClr w14:val="tx1"/>
            </w14:solidFill>
          </w14:textFill>
        </w:rPr>
        <w:t>4.2  监测预警</w:t>
      </w:r>
      <w:bookmarkEnd w:id="155"/>
      <w:bookmarkEnd w:id="156"/>
      <w:bookmarkEnd w:id="15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58" w:name="_Toc21184"/>
      <w:bookmarkEnd w:id="158"/>
      <w:bookmarkStart w:id="159" w:name="_Toc13525"/>
      <w:bookmarkEnd w:id="159"/>
      <w:bookmarkStart w:id="160" w:name="_Toc2802"/>
      <w:bookmarkEnd w:id="160"/>
      <w:bookmarkStart w:id="161" w:name="_Toc31018"/>
      <w:bookmarkStart w:id="162" w:name="_Toc29299"/>
      <w:r>
        <w:rPr>
          <w:rFonts w:eastAsia="仿宋_GB2312"/>
          <w:color w:val="000000" w:themeColor="text1"/>
          <w:sz w:val="32"/>
          <w:szCs w:val="32"/>
          <w14:textFill>
            <w14:solidFill>
              <w14:schemeClr w14:val="tx1"/>
            </w14:solidFill>
          </w14:textFill>
        </w:rPr>
        <w:t>4.2.1  监测</w:t>
      </w:r>
      <w:bookmarkEnd w:id="161"/>
      <w:bookmarkEnd w:id="16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县、乡镇（街道、开发区）及有关部门要建立健全突发事件监测制度，整合监测信息资源，完善信息资源获取和共享机制。各类突发事件主要职责部门负责相应突发事件监测信息汇总报告工作，根据突发事件种类和特点，建立健全地震、地质、气象、洪涝、干旱、森林草原火灾、非煤矿山、危险化学品生产经营储存运输使用和烟花爆竹批发经营储存、排污单位、重大关键基础设施、传染病疫情、动物疫情等基础信息数据库，完善监测网络，划分监测区域，确定监测点，明确监测项目，配备必要的设备设施和人员，对可能发生的突发事件进行有效监测预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63" w:name="_Toc16100"/>
      <w:bookmarkEnd w:id="163"/>
      <w:bookmarkStart w:id="164" w:name="_Toc22850"/>
      <w:bookmarkEnd w:id="164"/>
      <w:bookmarkStart w:id="165" w:name="_Toc18601"/>
      <w:bookmarkEnd w:id="165"/>
      <w:bookmarkStart w:id="166" w:name="_Toc30236"/>
      <w:bookmarkStart w:id="167" w:name="_Toc21276"/>
      <w:r>
        <w:rPr>
          <w:rFonts w:eastAsia="仿宋_GB2312"/>
          <w:color w:val="000000" w:themeColor="text1"/>
          <w:sz w:val="32"/>
          <w:szCs w:val="32"/>
          <w14:textFill>
            <w14:solidFill>
              <w14:schemeClr w14:val="tx1"/>
            </w14:solidFill>
          </w14:textFill>
        </w:rPr>
        <w:t>4.2.2  预警</w:t>
      </w:r>
      <w:bookmarkEnd w:id="166"/>
      <w:bookmarkEnd w:id="16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县、乡镇（街道、开发区）及有关部门要建立健全突发事件预警机制，统筹预警信息发布，运用各类信息渠道，解决预警信息发布“最后一公里”问题。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确定预警级别。对可以预警的自然灾害、事故灾难或公共卫生事件，有关部门接到相关征兆信息后，及时组织进行分析评估，研判发生的可能性、强度和影响范围以及可能发生的次生衍生突发事件类别，确定预警级别。按照紧急程度、发展势态以及可能造成的危害程度，预警级别可分为一级、二级、三级和四级，分别用红色、橙色、黄色和蓝色标示，一级为最高级别。各类突发事件预警级别由县各专项应急指挥机构(机制)办公室、县有关部门按照国家有关法律法规和政策予以界定，县政府结合实际制定具体实施办法。对其他突发事件，要根据情况及时向有关方面通报提醒信息，必要时向社会公众发布安全警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发布预警信息。分析评估结果确认突发事件即将发生或者发生的可能性增大时，县政府（专项应急指挥机构）或有关部门要根据分析评估结果，依法依规立即发布预警信息，及时向上级政府（专项应急指挥机构）或相关部门报告，必要时可以同时越级上报，并向当地驻军和可能受到危害的毗邻或相关地区的政府通报。根据事态发展，及时调整预警级别并更新报告、通报和发布有关突发事件预测信息和分析评估结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预警信息的发布和调整，可以通过广播、电视、报刊、通信、互联网、警报器、宣传车、大喇叭或组织人员逐户通知等方式进行。对老、幼、病、残、孕等特殊人群以及学校等特殊场所和警报盲区，应当采取有针对性的通知方式，确保预警信息发布对象无遗漏。承担应急处置职责的单位接到预警信息后，应及时向发布预警信息的单位反馈接受结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新闻媒体、通信运营商应按照当地政府或预警发布部门要求，及时、无偿向社会公开发布预警信息。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（3）采取预警措施。发布预警信息后，有关方面要根据预警级别和实际情况以及分级负责的原则，采取下列一项或多项措施：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①增加观测频次，及时收集、报告有关信息；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②加强公众沟通，公布信息接收和咨询电话，向社会公告采取的有关特定措施、避免或减轻危害的建议和劝告等；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③组织现场指挥员、应急队伍和负有特定职责的人员进入待命状态，动员后备人员做好参加应急处置和救援工作的准备，预置有关队伍、装备、物资等应急资源；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④调集应急处置和救援所需物资、设备、工具，准备应急设施和避难场所，并确保其处于良好状态、随时可以投入正常使用；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⑤加强对重点单位、重要部位和重要基础设施的安全保卫，维护社会治安秩序；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⑥保障交通、通信、供水、排水、供电、供气、供热等公共设施的安全和正常运行；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⑦转移、疏散或者撤离易受突发事件危害的人员并予以妥善安置，转移重要财产物资；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⑧关闭或者限制使用易受突发事件危害的场所，控制或者限制容易导致危害扩大的公共场所的活动；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⑨有关政府和部门发布预警后，其他相关地区和部门及时组织分析本地区和本行业可能受到影响的范围、程度等，安排部署有关防范性工作。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4</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预警措施的解除。</w:t>
      </w:r>
      <w:r>
        <w:rPr>
          <w:rFonts w:hint="eastAsia" w:eastAsia="仿宋_GB2312"/>
          <w:color w:val="000000" w:themeColor="text1"/>
          <w:sz w:val="32"/>
          <w:szCs w:val="32"/>
          <w14:textFill>
            <w14:solidFill>
              <w14:schemeClr w14:val="tx1"/>
            </w14:solidFill>
          </w14:textFill>
        </w:rPr>
        <w:t>根据</w:t>
      </w:r>
      <w:r>
        <w:rPr>
          <w:rFonts w:hint="eastAsia" w:eastAsia="仿宋_GB2312"/>
          <w:color w:val="000000" w:themeColor="text1"/>
          <w:sz w:val="32"/>
          <w:szCs w:val="32"/>
          <w:lang w:val="en-US" w:eastAsia="zh-CN"/>
          <w14:textFill>
            <w14:solidFill>
              <w14:schemeClr w14:val="tx1"/>
            </w14:solidFill>
          </w14:textFill>
        </w:rPr>
        <w:t>突发事件</w:t>
      </w:r>
      <w:r>
        <w:rPr>
          <w:rFonts w:hint="eastAsia" w:eastAsia="仿宋_GB2312"/>
          <w:color w:val="000000" w:themeColor="text1"/>
          <w:sz w:val="32"/>
          <w:szCs w:val="32"/>
          <w14:textFill>
            <w14:solidFill>
              <w14:schemeClr w14:val="tx1"/>
            </w14:solidFill>
          </w14:textFill>
        </w:rPr>
        <w:t>信息进行预测、研判，</w:t>
      </w:r>
      <w:r>
        <w:rPr>
          <w:rFonts w:hint="eastAsia" w:eastAsia="仿宋_GB2312"/>
          <w:color w:val="000000" w:themeColor="text1"/>
          <w:sz w:val="32"/>
          <w:szCs w:val="32"/>
          <w:lang w:val="en-US" w:eastAsia="zh-CN"/>
          <w14:textFill>
            <w14:solidFill>
              <w14:schemeClr w14:val="tx1"/>
            </w14:solidFill>
          </w14:textFill>
        </w:rPr>
        <w:t>突发事件风险</w:t>
      </w:r>
      <w:r>
        <w:rPr>
          <w:rFonts w:hint="eastAsia" w:eastAsia="仿宋_GB2312"/>
          <w:color w:val="000000" w:themeColor="text1"/>
          <w:sz w:val="32"/>
          <w:szCs w:val="32"/>
          <w14:textFill>
            <w14:solidFill>
              <w14:schemeClr w14:val="tx1"/>
            </w14:solidFill>
          </w14:textFill>
        </w:rPr>
        <w:t>得到控制，则预警结束，应急领导小组总指挥向有关人员宣布预警解除，恢复正常工作状态。</w:t>
      </w:r>
      <w:bookmarkStart w:id="168" w:name="_Toc27357"/>
      <w:bookmarkEnd w:id="168"/>
      <w:bookmarkStart w:id="169" w:name="_Toc4447"/>
      <w:bookmarkEnd w:id="169"/>
      <w:bookmarkStart w:id="170" w:name="_Toc8109"/>
      <w:bookmarkEnd w:id="170"/>
      <w:bookmarkStart w:id="171" w:name="_Toc20851"/>
      <w:bookmarkEnd w:id="171"/>
      <w:bookmarkStart w:id="172" w:name="_Toc2901"/>
      <w:bookmarkEnd w:id="172"/>
      <w:bookmarkStart w:id="173" w:name="_Toc2776"/>
      <w:bookmarkStart w:id="174" w:name="_Toc2371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75" w:name="_Toc12387"/>
      <w:r>
        <w:rPr>
          <w:rFonts w:eastAsia="楷体_GB2312"/>
          <w:color w:val="000000" w:themeColor="text1"/>
          <w:sz w:val="32"/>
          <w:szCs w:val="32"/>
          <w14:textFill>
            <w14:solidFill>
              <w14:schemeClr w14:val="tx1"/>
            </w14:solidFill>
          </w14:textFill>
        </w:rPr>
        <w:t>4.3  信息报告</w:t>
      </w:r>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highlight w:val="red"/>
          <w14:textFill>
            <w14:solidFill>
              <w14:schemeClr w14:val="tx1"/>
            </w14:solidFill>
          </w14:textFill>
        </w:rPr>
      </w:pPr>
      <w:bookmarkStart w:id="176" w:name="_Toc9675"/>
      <w:bookmarkEnd w:id="176"/>
      <w:bookmarkStart w:id="177" w:name="_Toc10169"/>
      <w:bookmarkEnd w:id="177"/>
      <w:bookmarkStart w:id="178" w:name="_Toc23771"/>
      <w:bookmarkEnd w:id="178"/>
      <w:bookmarkStart w:id="179" w:name="_Toc30683"/>
      <w:bookmarkEnd w:id="179"/>
      <w:bookmarkStart w:id="180" w:name="_Toc31636"/>
      <w:bookmarkStart w:id="181" w:name="_Toc11948"/>
      <w:r>
        <w:rPr>
          <w:rFonts w:eastAsia="仿宋_GB2312"/>
          <w:color w:val="000000" w:themeColor="text1"/>
          <w:sz w:val="32"/>
          <w:szCs w:val="32"/>
          <w14:textFill>
            <w14:solidFill>
              <w14:schemeClr w14:val="tx1"/>
            </w14:solidFill>
          </w14:textFill>
        </w:rPr>
        <w:t>（1）各级政府、村（居）要积极推进安全风险网格化管理，创新基层网格员管理体制机制，统筹灾害信息员、群测群防员、气象信息员、水库巡查员、护林员、网格员等资源，承担风险隐患巡查报告，突发事件第一时间报告、第一时间先期处置，灾情统计报告等职责，建立统一规范的基层网格员管理和激励制度，实现村（居）网格化管理。鼓励获悉突发事件信息的公民主动向所在地政府、有关主管部门或者指定的专业机构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突发事件发生后，事发单位、基层网格员和有关村（居）、企业、社会组织及相关专业机构、监测网点等要第一时间向所在地政府及其有关主管部门报告信息。有关主管部门立即向本级政府相关部门通报。事发地政府及其有关部门按照有关规定向上级政府及其有关部门报送信息。根据事态发展和上级要求，及时续报事件处置等有关情况。县政府应当在接到生产安全事故报告后半小时内报告省政府安委会办公室；属于较大以上生产安全事故的，还应当在1小时内书面报告省政府安委会办公室。县政府在上报的同时应按规定报告市安委会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报告内容一般包括突发事件发生的时间、地点、信息来源、性质、简要经过、影响范围（含环境影响）、人员伤（病）亡和失联情况、房屋倒塌损坏情况、交通通信电力等基础设施损毁情况、现场救援情况和已经采取的相关措施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县、乡镇（街道、开发区）及有关部门要全面掌握突发事件信息。一般及以上突发事件信息要及时报送市政府及有关部门。对于一些事件本身比较敏感或发生在重点地区、敏感时间，或可能演化为重大、特别重大突发事件的，不受相关突发事件分级标准限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接到突发事件信息后，各级政府及其有关部门要按照国家、省、市、县有关规定，立即向上级政府及有关部门报告，不得迟报、漏报、谎报和瞒报，同时通报可能受影响的地区、部门和企业。重大、特别重大突发事件发生后或特殊情况下，县政府及其有关部门可直接向省政府及其有关部门报告，并同时报告上一级政府及其有关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（5）涉及港澳台侨、外籍人员，或影响到境外的突发事件，需要向港、澳、台以及有关国家、地区、国际机构通报的，按照相关规定办理。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6）县、乡镇（街道、开发区）应急牵头部门应当建立健全信息快速获取机制，全面掌握突发事件信息，完善突发事件信息报送和信息共享系统，融合相关部门、地方的应急基础信息、地理信息、应急资源信息、预案和案例信息、事件动态信息等，为突发事件应对提供信息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182" w:name="_Toc9263"/>
      <w:r>
        <w:rPr>
          <w:rFonts w:eastAsia="楷体_GB2312"/>
          <w:color w:val="000000" w:themeColor="text1"/>
          <w:sz w:val="32"/>
          <w:szCs w:val="32"/>
          <w14:textFill>
            <w14:solidFill>
              <w14:schemeClr w14:val="tx1"/>
            </w14:solidFill>
          </w14:textFill>
        </w:rPr>
        <w:t>4.4应急处置和</w:t>
      </w:r>
      <w:bookmarkEnd w:id="180"/>
      <w:bookmarkEnd w:id="181"/>
      <w:r>
        <w:rPr>
          <w:rFonts w:eastAsia="楷体_GB2312"/>
          <w:color w:val="000000" w:themeColor="text1"/>
          <w:sz w:val="32"/>
          <w:szCs w:val="32"/>
          <w14:textFill>
            <w14:solidFill>
              <w14:schemeClr w14:val="tx1"/>
            </w14:solidFill>
          </w14:textFill>
        </w:rPr>
        <w:t>救援</w:t>
      </w:r>
      <w:bookmarkEnd w:id="18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83" w:name="_Toc28309"/>
      <w:bookmarkEnd w:id="183"/>
      <w:bookmarkStart w:id="184" w:name="_Toc4908"/>
      <w:bookmarkEnd w:id="184"/>
      <w:bookmarkStart w:id="185" w:name="_Toc20230"/>
      <w:bookmarkEnd w:id="185"/>
      <w:bookmarkStart w:id="186" w:name="_Toc17340"/>
      <w:bookmarkStart w:id="187" w:name="_Toc6537"/>
      <w:r>
        <w:rPr>
          <w:rFonts w:eastAsia="仿宋_GB2312"/>
          <w:color w:val="000000" w:themeColor="text1"/>
          <w:sz w:val="32"/>
          <w:szCs w:val="32"/>
          <w14:textFill>
            <w14:solidFill>
              <w14:schemeClr w14:val="tx1"/>
            </w14:solidFill>
          </w14:textFill>
        </w:rPr>
        <w:t>4.4.1先期处置</w:t>
      </w:r>
      <w:bookmarkEnd w:id="186"/>
      <w:bookmarkEnd w:id="18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88" w:name="_Toc18372"/>
      <w:bookmarkStart w:id="189" w:name="_Toc28563"/>
      <w:r>
        <w:rPr>
          <w:rFonts w:eastAsia="仿宋_GB2312"/>
          <w:color w:val="000000" w:themeColor="text1"/>
          <w:sz w:val="32"/>
          <w:szCs w:val="32"/>
          <w14:textFill>
            <w14:solidFill>
              <w14:schemeClr w14:val="tx1"/>
            </w14:solidFill>
          </w14:textFill>
        </w:rPr>
        <w:t>（1）突发事件发生后，事发单位应组织本单位应急救援队伍和工作人员营救受害人员，疏散、撤离、安置受威胁人员，加强救援处置人员防护；控制危险源、可疑传染源，标明危险区域，封锁危险场所，并采取其他防止危害扩大的必要措施，维护现场秩序；对因本单位问题引发的或主体是本单位人员的社会安全事件，有关单位要迅速派出负责同志赶赴现场开展劝解、疏导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（2）事发地村（居）民委员会和其他组织要立即进行宣传动员，组织群众开展自救和互救，协助维护社会秩序，按照当地政府的决定或命令组织开展突发事件应对工作。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（3）事发地乡镇（街道、开发区）要根据应急预案或上级决定、命令，调动应急队伍，采取措施控制事态发展，组织开展应急处置和救援工作，并及时向上级政府报告。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（4）在境外发生涉及我县公民和机构的突发事件，县有关部门应第一时间启动应急机制，</w:t>
      </w:r>
      <w:bookmarkStart w:id="190" w:name="_Toc26698"/>
      <w:bookmarkEnd w:id="190"/>
      <w:bookmarkStart w:id="191" w:name="_Toc1990"/>
      <w:bookmarkEnd w:id="191"/>
      <w:bookmarkStart w:id="192" w:name="_Toc11972"/>
      <w:bookmarkEnd w:id="192"/>
      <w:r>
        <w:rPr>
          <w:rFonts w:eastAsia="仿宋_GB2312"/>
          <w:color w:val="000000" w:themeColor="text1"/>
          <w:sz w:val="32"/>
          <w:szCs w:val="32"/>
          <w14:textFill>
            <w14:solidFill>
              <w14:schemeClr w14:val="tx1"/>
            </w14:solidFill>
          </w14:textFill>
        </w:rPr>
        <w:t>采取措施保护我县公民和机构生命财产安全及合法权益。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4.4.2指挥协调</w:t>
      </w:r>
      <w:bookmarkEnd w:id="188"/>
      <w:bookmarkEnd w:id="18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93" w:name="_Toc31136"/>
      <w:bookmarkEnd w:id="193"/>
      <w:bookmarkStart w:id="194" w:name="_Toc15183"/>
      <w:bookmarkEnd w:id="194"/>
      <w:bookmarkStart w:id="195" w:name="_Toc4738"/>
      <w:bookmarkEnd w:id="195"/>
      <w:bookmarkStart w:id="196" w:name="_Toc7302"/>
      <w:bookmarkStart w:id="197" w:name="_Toc17558"/>
      <w:r>
        <w:rPr>
          <w:rFonts w:eastAsia="仿宋_GB2312"/>
          <w:color w:val="000000" w:themeColor="text1"/>
          <w:sz w:val="32"/>
          <w:szCs w:val="32"/>
          <w14:textFill>
            <w14:solidFill>
              <w14:schemeClr w14:val="tx1"/>
            </w14:solidFill>
          </w14:textFill>
        </w:rPr>
        <w:t>（1）组织指挥。县政府及相关部门指导乡镇（街道、开发区）及相应部门开展应对工作。县专项应急指挥机构（机制）设立后，乡镇（街道、开发区）按照县专项应急指挥机构（机制）要求做好先期应急处置和救援、后勤保障等工作。县、乡镇（街道、开发区）对本行政区域内各类突发事件应对负有属地管理责任，突发事件发生后，应立即启动响应，采取措施控制事态发展，组织开展应急处置和救援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现场指挥。应急指挥机构（机制）根据突发事件处置需要，可设立现场指挥机构，现场指挥机构实行总指挥负责制，参加现场应急救援的单位和个人应当服从现场指挥机构的统一指挥。上级政府设立现场指挥机构的，下级政府的现场指挥机构应纳入上级现场指挥机构，在上级现场指挥机构的统一领导下组织开展突发事件应对工作。现场指挥机构要充分听取有关专家意见建议，开设统一的救援队伍集结点、物资接收点和分发点、新闻发布中心，并提供必要的后勤保障。参与救援的应急力量要及时向现场指挥机构报到、受领任务，接受现场指挥机构的统一指挥调度，严格遵守交通管理、信息发布工作要求，并及时报告现场情况和处置工作进展情况，实现各方信息共享。</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当上级工作组在现场时，现场应急指挥机构要与其对接，接受业务指导，并做好相应保障。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协同联动。参与应急处置和救援的部队、消防救援队伍、专业应急救援队伍等接受现场指挥机构的统一领导。社会应急救援队伍参与应急救援，应当向负责突发事件应对的现场指挥机构申报，服从现场指挥机构统一指挥。现场指挥机构（机制）根据突发事件现场实际情况，及时调度指挥相关应急资源开展应急处置和救援行动。如需动用部队参与应急处置和救援，按照有关规定申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4.4.3  处置措施</w:t>
      </w:r>
      <w:bookmarkEnd w:id="196"/>
      <w:bookmarkEnd w:id="19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（1）自然灾害、事故灾难或者公共卫生事件发生后，事发地政府应采取下列一项或者多项应急措施：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①组织现场人员、应急测绘和勘察队伍等，迅速获取核实现场信息，特别是重要目标物、人员密集场所和人口分布情况，利用无人机、雷达、卫星等手段获取现场影像，分析研判道路、桥梁、通信、电力等基础设施和居民住房损毁情况，提出初步评估意见，并向现场指挥机构和有关部门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②组织营救受灾和被困人员，疏散、撤离并妥善安置受威胁人员，保护、转移重要财产，必要时组织动员社会应急力量有序参与应急处置救援、受灾人员救助工作。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③组织开展伤病员救治、卫生防疫和应急心理援助等医疗卫生处置工作，组织应急免疫接种、预防性服药，开展卫生防疫和健康防病知识宣传。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④组织开展抢险工作，控制危险源、减轻或消除危害，标明危险区域、封锁危险场所，划定警戒区、实行交通管制以及其他控制措施，快速疏散无关聚集人员，交通运输、铁路、公安等有关部门要保证紧急情况下应急交通工具的优先安排、优先调度、优先放行，确保抢险救灾物资和人员能够及时、安全送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⑤组织抢修被损坏的交通、水利、通信、供（排）水、供电、供气、供热等公共设施，短时难以恢复的，要制定临时方案，保障社会生产生活基本需要。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⑥开展环境应急监测，追踪研判污染范围、程度和发展趋势；切断污染源，控制和处置污染物，保护饮用水水源地等环境敏感部位，减轻环境影响；开展灾后环境风险排查，整治污染隐患，妥善处置事件应对中产生的废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⑦禁止或者限制使用有关设备、设施，关闭或者限制使用有关场所，中止人员密集活动或者可能导致危害扩大的生产经营活动以及采取其他保护措施。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⑧落实本级政府应急救援资金和储备的应急救援救灾物资，必要时征用其他急需物资、设备、设施、工具。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⑨做好受灾群众的基本生活保障工作，提供食品、饮用水、衣被、燃料等基本生活必需品和临时住所，开展卫生防疫工作，确保灾区群众有饭吃、有水喝、有衣穿、有住处、有学上、有病能及时医治，确保大灾之后无大疫。</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⑩开展遇难人员善后处置工作，妥善处置遇难人员遗体，依法做好遇难人员家属救助、补偿、安抚等工作。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⑪</w:t>
      </w:r>
      <w:r>
        <w:rPr>
          <w:rFonts w:hint="eastAsia" w:ascii="仿宋_GB2312" w:hAnsi="仿宋_GB2312" w:eastAsia="仿宋_GB2312" w:cs="仿宋_GB2312"/>
          <w:color w:val="000000" w:themeColor="text1"/>
          <w:sz w:val="32"/>
          <w:szCs w:val="32"/>
          <w14:textFill>
            <w14:solidFill>
              <w14:schemeClr w14:val="tx1"/>
            </w14:solidFill>
          </w14:textFill>
        </w:rPr>
        <w:t>组织开展救灾捐赠活动，接收、管理、分配救灾捐赠款物。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⑫</w:t>
      </w:r>
      <w:r>
        <w:rPr>
          <w:rFonts w:hint="eastAsia" w:ascii="仿宋_GB2312" w:hAnsi="仿宋_GB2312" w:eastAsia="仿宋_GB2312" w:cs="仿宋_GB2312"/>
          <w:color w:val="000000" w:themeColor="text1"/>
          <w:sz w:val="32"/>
          <w:szCs w:val="32"/>
          <w14:textFill>
            <w14:solidFill>
              <w14:schemeClr w14:val="tx1"/>
            </w14:solidFill>
          </w14:textFill>
        </w:rPr>
        <w:t>依法从严惩处囤积居奇、哄抬物价、制假售假等扰乱市场秩序的行为，稳定市场价格，维护市场秩序。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⑬</w:t>
      </w:r>
      <w:r>
        <w:rPr>
          <w:rFonts w:hint="eastAsia" w:ascii="仿宋_GB2312" w:hAnsi="仿宋_GB2312" w:eastAsia="仿宋_GB2312" w:cs="仿宋_GB2312"/>
          <w:color w:val="000000" w:themeColor="text1"/>
          <w:sz w:val="32"/>
          <w:szCs w:val="32"/>
          <w14:textFill>
            <w14:solidFill>
              <w14:schemeClr w14:val="tx1"/>
            </w14:solidFill>
          </w14:textFill>
        </w:rPr>
        <w:t>依法从严惩处哄抢财物、干扰应急处置工作等扰乱社会秩序的行为，维护社会治安。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⑭</w:t>
      </w:r>
      <w:r>
        <w:rPr>
          <w:rFonts w:hint="eastAsia" w:ascii="仿宋_GB2312" w:hAnsi="仿宋_GB2312" w:eastAsia="仿宋_GB2312" w:cs="仿宋_GB2312"/>
          <w:color w:val="000000" w:themeColor="text1"/>
          <w:sz w:val="32"/>
          <w:szCs w:val="32"/>
          <w14:textFill>
            <w14:solidFill>
              <w14:schemeClr w14:val="tx1"/>
            </w14:solidFill>
          </w14:textFill>
        </w:rPr>
        <w:t>采取其他防止发生次生、衍生灾害和事件的必要措施。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（2）社会安全事件发生后，事发地政府立即组织有关部门针对事件的性质和特点，采取下列一项或者多项应急措施：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①了解和分析事件起因，有针对性地开展法制宣传和说服教育，及时疏导、化解矛盾和冲突。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②维护现场治安秩序，对使用器械相互对抗或以暴力行为参与冲突的当事人实行强制隔离，妥善解决现场纠纷和争端，控制事态发展。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③对特定区域内的建筑物、交通工具、设备、设施以及燃料、燃气、电力、水的供应进行控制，必要时依法对网络、通信进行管控。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④封锁有关场所、道路，查验现场人员的身份证件，限制有关公共场所内的活动。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⑤加强对易受冲击的核心机关和单位的警卫，在党政机关、广播电台、电视台等单位附近设置临时警戒线，加强对重点敏感人员、场所、部位和标志性建筑的安全保护。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⑥严重危害社会治安秩序的事件发生时，立即依法出动警力，加大社会面检查、巡逻、控制力度，根据现场情况依法采取相应的强制性措施，尽快使社会秩序恢复正常。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⑦法律法规等规定的其他必要措施。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交通运输、医疗卫生、能源供应、通信、灾害现场信息、抢险救援物资装备、救济救灾、自然灾害救助、社会秩序、新闻宣传等应急保障工作的牵头协调部门和支持部门应当编制相关保障方案，加强保障体系建设，完善快速反应联动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履行统一领导职责的人民政府，必要时可以依法向单位和个人征用应急救援所需设备、设施、场地、交通工具和其他物资，请求其他地方人民政府提供人力、物力、财力或技术支援，要求生产、供应生活必需品和应急救援物资的企业组织生产、保障供给，要求提供医疗、交通等公共服务的组织提供相应的服务。组织协调运输经营单位，优先运送处置突发事件所需物资、设备、工具、应急救援人员和受到突发事件危害的人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198" w:name="_Toc6714"/>
      <w:bookmarkEnd w:id="198"/>
      <w:bookmarkStart w:id="199" w:name="_Toc19533"/>
      <w:bookmarkEnd w:id="199"/>
      <w:bookmarkStart w:id="200" w:name="_Toc7117"/>
      <w:bookmarkEnd w:id="200"/>
      <w:bookmarkStart w:id="201" w:name="_Toc28588"/>
      <w:bookmarkStart w:id="202" w:name="_Toc18062"/>
      <w:r>
        <w:rPr>
          <w:rFonts w:eastAsia="仿宋_GB2312"/>
          <w:color w:val="000000" w:themeColor="text1"/>
          <w:sz w:val="32"/>
          <w:szCs w:val="32"/>
          <w14:textFill>
            <w14:solidFill>
              <w14:schemeClr w14:val="tx1"/>
            </w14:solidFill>
          </w14:textFill>
        </w:rPr>
        <w:t>4.4.4  信息发布与舆论引导</w:t>
      </w:r>
      <w:bookmarkEnd w:id="201"/>
      <w:bookmarkEnd w:id="20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级应急指挥机构（机制）要制定统一的信息发布与舆论引导方案，与突发事件应对处置工作同时研究、同时部署、同时行动。对可能受到突发事件后果直接威胁的社会公众，应按照“监测预警”部分的要求及时向其发布预警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CESI仿宋-GB2312"/>
          <w:color w:val="000000" w:themeColor="text1"/>
          <w:kern w:val="0"/>
          <w:sz w:val="32"/>
          <w:szCs w:val="32"/>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（1）信息发布由履行统一领导职责的政府设立的专项应急指挥机构负责组织。必要时，按照上级政府或上级专项应急指挥机构的要求，由上级政府有关部门统筹协调信息发布工作。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203" w:name="_Toc1956"/>
      <w:bookmarkEnd w:id="203"/>
      <w:bookmarkStart w:id="204" w:name="_Toc26254"/>
      <w:bookmarkEnd w:id="204"/>
      <w:bookmarkStart w:id="205" w:name="_Toc24009"/>
      <w:bookmarkStart w:id="206" w:name="_Toc29355"/>
      <w:r>
        <w:rPr>
          <w:rFonts w:eastAsia="仿宋_GB2312"/>
          <w:color w:val="000000" w:themeColor="text1"/>
          <w:sz w:val="32"/>
          <w:szCs w:val="32"/>
          <w14:textFill>
            <w14:solidFill>
              <w14:schemeClr w14:val="tx1"/>
            </w14:solidFill>
          </w14:textFill>
        </w:rPr>
        <w:t>（2）重大、特别重大突发事件发生后，县级以上政府或</w:t>
      </w:r>
      <w:r>
        <w:rPr>
          <w:rFonts w:eastAsia="仿宋_GB2312"/>
          <w:color w:val="000000" w:themeColor="text1"/>
          <w:sz w:val="32"/>
          <w:szCs w:val="32"/>
          <w:shd w:val="clear" w:color="auto" w:fill="FFFFFF"/>
          <w14:textFill>
            <w14:solidFill>
              <w14:schemeClr w14:val="tx1"/>
            </w14:solidFill>
          </w14:textFill>
        </w:rPr>
        <w:t>专项应急指挥机构要</w:t>
      </w:r>
      <w:r>
        <w:rPr>
          <w:rFonts w:eastAsia="仿宋_GB2312"/>
          <w:color w:val="000000" w:themeColor="text1"/>
          <w:sz w:val="32"/>
          <w:szCs w:val="32"/>
          <w14:textFill>
            <w14:solidFill>
              <w14:schemeClr w14:val="tx1"/>
            </w14:solidFill>
          </w14:textFill>
        </w:rPr>
        <w:t>在事件发生后第一时间通过主流媒体向社会发布权威信息，随后发布初步核实情况、已经采取的应对措施和公众防范要求等，第一时间举行新闻发布会，根据突发事件处置情况做好后续发布工作。发生一般、较大突发事件，要尽快发布权威信息，并根据处置进展动态发布更新信息。法律、法规和国家另有规定的，从其规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（3）信息发布形式主要包括提供新闻稿、组织吹风会、组织报道、举行新闻发布会、接受媒体采访，运用官方网站、微博、微信及移动客户端、手机短信等平台发布信息，具体按照有关规定执行。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履行统一领导职责的人民政府要加强网络媒体和移动互联网媒体信息发布内容管理和舆情分析工作，迅速澄清谣言，依法查处造谣生事者并向社会公开揭露曝光，及时回应社会关切，引导网民依法、理性表达意见，形成积极健康的社会舆论氛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参与突发事件应急处置工作的各有关单位和个人不得擅自对外发布事件原因、伤亡数字、责任追究等有关突发事件处置工作的情况和事态发展的信息。任何单位和个人不得编造、传播有关突发事件事态发展或者应急处置工作的虚假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4.4.5  紧急状态</w:t>
      </w:r>
      <w:bookmarkEnd w:id="205"/>
      <w:bookmarkEnd w:id="20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b w:val="0"/>
          <w:bCs w:val="0"/>
          <w:color w:val="auto"/>
          <w:sz w:val="32"/>
          <w:szCs w:val="32"/>
        </w:rPr>
      </w:pPr>
      <w:r>
        <w:rPr>
          <w:rFonts w:eastAsia="仿宋_GB2312"/>
          <w:b w:val="0"/>
          <w:bCs w:val="0"/>
          <w:color w:val="auto"/>
          <w:sz w:val="32"/>
          <w:szCs w:val="32"/>
        </w:rPr>
        <w:t>发生或即将发生重大、特别重大突发事件，采取一般处置措施无法控制和消除其严重社会危害，需要宣布全县或者县内部分区域进入紧急状态的，依法报省、市政府按照有关规定组织实施。进入紧急状态的决定应依法立即通过新闻媒体向公众公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4.4.6</w:t>
      </w:r>
      <w:r>
        <w:rPr>
          <w:rFonts w:hint="eastAsia" w:eastAsia="仿宋_GB2312"/>
          <w:color w:val="000000" w:themeColor="text1"/>
          <w:sz w:val="32"/>
          <w:szCs w:val="32"/>
          <w14:textFill>
            <w14:solidFill>
              <w14:schemeClr w14:val="tx1"/>
            </w14:solidFill>
          </w14:textFill>
        </w:rPr>
        <w:t>扩大应急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事故进一步恶化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依据当前应急能力</w:t>
      </w:r>
      <w:r>
        <w:rPr>
          <w:rFonts w:hint="eastAsia" w:ascii="仿宋" w:hAnsi="仿宋" w:eastAsia="仿宋" w:cs="仿宋"/>
          <w:color w:val="auto"/>
          <w:sz w:val="32"/>
          <w:szCs w:val="32"/>
        </w:rPr>
        <w:t>不能</w:t>
      </w:r>
      <w:r>
        <w:rPr>
          <w:rFonts w:hint="eastAsia" w:ascii="仿宋" w:hAnsi="仿宋" w:eastAsia="仿宋" w:cs="仿宋"/>
          <w:color w:val="auto"/>
          <w:sz w:val="32"/>
          <w:szCs w:val="32"/>
          <w:lang w:val="en-US" w:eastAsia="zh-CN"/>
        </w:rPr>
        <w:t>有效</w:t>
      </w:r>
      <w:r>
        <w:rPr>
          <w:rFonts w:hint="eastAsia" w:ascii="仿宋" w:hAnsi="仿宋" w:eastAsia="仿宋" w:cs="仿宋"/>
          <w:color w:val="auto"/>
          <w:sz w:val="32"/>
          <w:szCs w:val="32"/>
        </w:rPr>
        <w:t>控制</w:t>
      </w:r>
      <w:r>
        <w:rPr>
          <w:rFonts w:hint="eastAsia" w:ascii="仿宋" w:hAnsi="仿宋" w:eastAsia="仿宋" w:cs="仿宋"/>
          <w:color w:val="auto"/>
          <w:sz w:val="32"/>
          <w:szCs w:val="32"/>
          <w:lang w:val="en-US" w:eastAsia="zh-CN"/>
        </w:rPr>
        <w:t>事故状态</w:t>
      </w:r>
      <w:r>
        <w:rPr>
          <w:rFonts w:hint="eastAsia" w:ascii="仿宋" w:hAnsi="仿宋" w:eastAsia="仿宋" w:cs="仿宋"/>
          <w:color w:val="auto"/>
          <w:sz w:val="32"/>
          <w:szCs w:val="32"/>
        </w:rPr>
        <w:t>时，应当立即向上级部门和社会力量求援</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扩大</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级别，启动相关应急联动机制，同时</w:t>
      </w:r>
      <w:r>
        <w:rPr>
          <w:rFonts w:hint="eastAsia" w:ascii="仿宋" w:hAnsi="仿宋" w:eastAsia="仿宋" w:cs="仿宋"/>
          <w:color w:val="auto"/>
          <w:sz w:val="32"/>
          <w:szCs w:val="32"/>
          <w:lang w:val="en-US" w:eastAsia="zh-CN"/>
        </w:rPr>
        <w:t>相应做好扩大</w:t>
      </w:r>
      <w:r>
        <w:rPr>
          <w:rFonts w:hint="eastAsia" w:ascii="仿宋" w:hAnsi="仿宋" w:eastAsia="仿宋" w:cs="仿宋"/>
          <w:color w:val="auto"/>
          <w:sz w:val="32"/>
          <w:szCs w:val="32"/>
        </w:rPr>
        <w:t>安全警戒疏散，封锁道路，控制流动人口</w:t>
      </w:r>
      <w:r>
        <w:rPr>
          <w:rFonts w:hint="eastAsia" w:ascii="仿宋" w:hAnsi="仿宋" w:eastAsia="仿宋" w:cs="仿宋"/>
          <w:color w:val="auto"/>
          <w:sz w:val="32"/>
          <w:szCs w:val="32"/>
          <w:lang w:val="en-US" w:eastAsia="zh-CN"/>
        </w:rPr>
        <w:t>的配套工作。各</w:t>
      </w:r>
      <w:r>
        <w:rPr>
          <w:rFonts w:hint="eastAsia" w:ascii="仿宋" w:hAnsi="仿宋" w:eastAsia="仿宋" w:cs="仿宋"/>
          <w:color w:val="auto"/>
          <w:sz w:val="32"/>
          <w:szCs w:val="32"/>
        </w:rPr>
        <w:t>应急救援小组应配合</w:t>
      </w:r>
      <w:r>
        <w:rPr>
          <w:rFonts w:hint="eastAsia" w:ascii="仿宋" w:hAnsi="仿宋" w:eastAsia="仿宋" w:cs="仿宋"/>
          <w:color w:val="auto"/>
          <w:sz w:val="32"/>
          <w:szCs w:val="32"/>
          <w:lang w:val="en-US" w:eastAsia="zh-CN"/>
        </w:rPr>
        <w:t>响应扩大后</w:t>
      </w:r>
      <w:r>
        <w:rPr>
          <w:rFonts w:hint="eastAsia" w:ascii="仿宋" w:hAnsi="仿宋" w:eastAsia="仿宋" w:cs="仿宋"/>
          <w:color w:val="auto"/>
          <w:sz w:val="32"/>
          <w:szCs w:val="32"/>
        </w:rPr>
        <w:t>上级部门的救援工作。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207" w:name="_Toc5141"/>
      <w:bookmarkEnd w:id="207"/>
      <w:bookmarkStart w:id="208" w:name="_Toc13149"/>
      <w:bookmarkEnd w:id="208"/>
      <w:bookmarkStart w:id="209" w:name="_Toc17430"/>
      <w:bookmarkEnd w:id="209"/>
      <w:bookmarkStart w:id="210" w:name="_Toc5388"/>
      <w:bookmarkStart w:id="211" w:name="_Toc27999"/>
      <w:r>
        <w:rPr>
          <w:rFonts w:eastAsia="仿宋_GB2312"/>
          <w:color w:val="000000" w:themeColor="text1"/>
          <w:sz w:val="32"/>
          <w:szCs w:val="32"/>
          <w14:textFill>
            <w14:solidFill>
              <w14:schemeClr w14:val="tx1"/>
            </w14:solidFill>
          </w14:textFill>
        </w:rPr>
        <w:t>4.4.</w:t>
      </w:r>
      <w:r>
        <w:rPr>
          <w:rFonts w:hint="eastAsia" w:eastAsia="仿宋_GB2312"/>
          <w:color w:val="000000" w:themeColor="text1"/>
          <w:sz w:val="32"/>
          <w:szCs w:val="32"/>
          <w:lang w:val="en-US" w:eastAsia="zh-CN"/>
          <w14:textFill>
            <w14:solidFill>
              <w14:schemeClr w14:val="tx1"/>
            </w14:solidFill>
          </w14:textFill>
        </w:rPr>
        <w:t>7</w:t>
      </w:r>
      <w:r>
        <w:rPr>
          <w:rFonts w:eastAsia="仿宋_GB2312"/>
          <w:color w:val="000000" w:themeColor="text1"/>
          <w:sz w:val="32"/>
          <w:szCs w:val="32"/>
          <w14:textFill>
            <w14:solidFill>
              <w14:schemeClr w14:val="tx1"/>
            </w14:solidFill>
          </w14:textFill>
        </w:rPr>
        <w:t>应急结束</w:t>
      </w:r>
      <w:bookmarkEnd w:id="210"/>
      <w:bookmarkEnd w:id="21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212" w:name="_Toc2085"/>
      <w:bookmarkEnd w:id="212"/>
      <w:bookmarkStart w:id="213" w:name="_Toc31731"/>
      <w:bookmarkEnd w:id="213"/>
      <w:bookmarkStart w:id="214" w:name="_Toc12592"/>
      <w:bookmarkEnd w:id="214"/>
      <w:bookmarkStart w:id="215" w:name="_Toc17148"/>
      <w:bookmarkEnd w:id="215"/>
      <w:bookmarkStart w:id="216" w:name="_Toc23900"/>
      <w:bookmarkEnd w:id="216"/>
      <w:bookmarkStart w:id="217" w:name="_Toc22292"/>
      <w:bookmarkEnd w:id="217"/>
      <w:bookmarkStart w:id="218" w:name="_Toc12028"/>
      <w:bookmarkStart w:id="219" w:name="_Toc2494"/>
      <w:r>
        <w:rPr>
          <w:rFonts w:eastAsia="仿宋_GB2312"/>
          <w:color w:val="000000" w:themeColor="text1"/>
          <w:sz w:val="32"/>
          <w:szCs w:val="32"/>
          <w14:textFill>
            <w14:solidFill>
              <w14:schemeClr w14:val="tx1"/>
            </w14:solidFill>
          </w14:textFill>
        </w:rPr>
        <w:t>突发事件应急处置工作结束，或相关威胁和危害得到控制、消除后，履行统一领导职责的政府或应急指挥机构（机制）可宣布应急结束，或逐步停止有关应急处置措施，应急队伍和工作人员有序撤离。同时，采取或者继续实施必要措施，防止发生次生、衍生事件或者事态反复。现场指挥机构停止运行后，通知相关方面解除应急措施，进入过渡时期，逐步恢复正常生产生活秩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220" w:name="_Toc25201"/>
      <w:r>
        <w:rPr>
          <w:rFonts w:eastAsia="楷体_GB2312"/>
          <w:color w:val="000000" w:themeColor="text1"/>
          <w:sz w:val="32"/>
          <w:szCs w:val="32"/>
          <w14:textFill>
            <w14:solidFill>
              <w14:schemeClr w14:val="tx1"/>
            </w14:solidFill>
          </w14:textFill>
        </w:rPr>
        <w:t>4.5  恢复重建</w:t>
      </w:r>
      <w:bookmarkEnd w:id="218"/>
      <w:bookmarkEnd w:id="219"/>
      <w:bookmarkEnd w:id="22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221" w:name="_Toc26817"/>
      <w:bookmarkEnd w:id="221"/>
      <w:bookmarkStart w:id="222" w:name="_Toc20396"/>
      <w:bookmarkEnd w:id="222"/>
      <w:bookmarkStart w:id="223" w:name="_Toc10773"/>
      <w:bookmarkEnd w:id="223"/>
      <w:bookmarkStart w:id="224" w:name="_Toc15963"/>
      <w:bookmarkStart w:id="225" w:name="_Toc14966"/>
      <w:r>
        <w:rPr>
          <w:rFonts w:eastAsia="仿宋_GB2312"/>
          <w:color w:val="000000" w:themeColor="text1"/>
          <w:sz w:val="32"/>
          <w:szCs w:val="32"/>
          <w14:textFill>
            <w14:solidFill>
              <w14:schemeClr w14:val="tx1"/>
            </w14:solidFill>
          </w14:textFill>
        </w:rPr>
        <w:t>4.5.1  善后处置</w:t>
      </w:r>
      <w:bookmarkEnd w:id="224"/>
      <w:bookmarkEnd w:id="22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受突发事件影响地区的政府应当根据本地区遭受损失的情况，制定救助、补偿、抚慰、抚恤、安置等善后工作方案。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对突发事件中的伤亡人员、参与应急处置人员，按照规定给予抚恤、补助，并提供必要的心理咨询及司法援助。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紧急调集或征用有关单位及个人的物资、提供的劳务应参照市场价格给予适当补偿，妥善解决因处置突发事件引发的矛盾和纠纷。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有关部门要做好疫病防治和环境污染消除工作。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事发地保险监管机构要组织、督促有关保险机构及时开展查勘和理赔工作。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226" w:name="_Toc24038"/>
      <w:bookmarkEnd w:id="226"/>
      <w:bookmarkStart w:id="227" w:name="_Toc13975"/>
      <w:bookmarkEnd w:id="227"/>
      <w:bookmarkStart w:id="228" w:name="_Toc7749"/>
      <w:bookmarkEnd w:id="228"/>
      <w:bookmarkStart w:id="229" w:name="_Toc21313"/>
      <w:bookmarkStart w:id="230" w:name="_Toc13782"/>
      <w:r>
        <w:rPr>
          <w:rFonts w:eastAsia="仿宋_GB2312"/>
          <w:color w:val="000000" w:themeColor="text1"/>
          <w:sz w:val="32"/>
          <w:szCs w:val="32"/>
          <w14:textFill>
            <w14:solidFill>
              <w14:schemeClr w14:val="tx1"/>
            </w14:solidFill>
          </w14:textFill>
        </w:rPr>
        <w:t>4.5.2  恢复重建</w:t>
      </w:r>
      <w:bookmarkEnd w:id="229"/>
      <w:bookmarkEnd w:id="23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231" w:name="_Toc30346"/>
      <w:bookmarkEnd w:id="231"/>
      <w:bookmarkStart w:id="232" w:name="_Toc8587"/>
      <w:bookmarkEnd w:id="232"/>
      <w:bookmarkStart w:id="233" w:name="_Toc4784"/>
      <w:bookmarkStart w:id="234" w:name="_Toc26398"/>
      <w:r>
        <w:rPr>
          <w:rFonts w:eastAsia="仿宋_GB2312"/>
          <w:color w:val="000000" w:themeColor="text1"/>
          <w:sz w:val="32"/>
          <w:szCs w:val="32"/>
          <w14:textFill>
            <w14:solidFill>
              <w14:schemeClr w14:val="tx1"/>
            </w14:solidFill>
          </w14:textFill>
        </w:rPr>
        <w:t>健全县政府统筹指导、各级政府履行主体责任、灾区群众广泛参与的灾后恢复重建机制，强化资金、政策、规划统筹，促进资源融合、效能提升。县政府有关部门加大政策支持力度，并视情予以适当补助。强化县、乡镇（街道、开发区）重建主体责任，建立务实高效的规划落实推进机制。组织引导受灾地单位、群众开展自力更生、生产自救活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恢复重建工作由事发地乡镇（街道、开发区）负责。突发事件应急处置工作结束后，事发地乡镇（街道、开发区）要立即组织制定恢复重建计划，并向县政府报告。受突发事件影响地区的各级政府要及时组织和协调发展改革、工业和信息化、公安、财政、住房城乡建设、交通运输、水利、铁路等部门开展工作，尽快修复被损坏的交通、水利、通信、供（排）水、供电、供气、供热等公共设施，恢复社会秩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上级政府要根据实际情况对需要支持的下级政府提供资金、物资支持和技术指导，组织其他地区提供资金、物资和人力支援。需要上级政府援助的，由事发地政府提出请求，上级政府有关部门根据调查评估报告和受灾地区恢复重建规划，提出恢复重建的建议和意见，按有关规定组织实施。需要省、市政府援助的，由县政府向省、市政府有关方面提出请求。县政府根据受突发事件影响地区遭受损失的情况，制定扶持该地区经济社会和有关行业发展的优惠政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4.5.3  调查与评估</w:t>
      </w:r>
      <w:bookmarkEnd w:id="233"/>
      <w:bookmarkEnd w:id="23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235" w:name="_Toc10765"/>
      <w:bookmarkEnd w:id="235"/>
      <w:bookmarkStart w:id="236" w:name="_Toc10260"/>
      <w:bookmarkEnd w:id="236"/>
      <w:bookmarkStart w:id="237" w:name="_Toc30052"/>
      <w:bookmarkEnd w:id="237"/>
      <w:bookmarkStart w:id="238" w:name="_Toc15425"/>
      <w:bookmarkEnd w:id="238"/>
      <w:bookmarkStart w:id="239" w:name="_Toc6642"/>
      <w:bookmarkEnd w:id="239"/>
      <w:bookmarkStart w:id="240" w:name="_Toc23343"/>
      <w:bookmarkEnd w:id="240"/>
      <w:bookmarkStart w:id="241" w:name="_Toc12585"/>
      <w:bookmarkStart w:id="242" w:name="_Toc17675"/>
      <w:r>
        <w:rPr>
          <w:rFonts w:eastAsia="仿宋_GB2312"/>
          <w:color w:val="000000" w:themeColor="text1"/>
          <w:sz w:val="32"/>
          <w:szCs w:val="32"/>
          <w14:textFill>
            <w14:solidFill>
              <w14:schemeClr w14:val="tx1"/>
            </w14:solidFill>
          </w14:textFill>
        </w:rPr>
        <w:t>（1）履行统一领导职责的政府应当及时查明突发事件的原因和过程，对突发事件造成的损失进行评估；组织参与处置的部门（单位）对应急处置工作进行复盘分析，总结经验教训，制定改进措施；将调查与评估情况按有关要求向上级政府提交报告。对于特别重大、重大、较大突发事件，县政府配合上级有关部门进行调查评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县级专项应急预案牵头编制部门于每年第一季度组织相关部门和单位对上年度发生的突发事件进行全面评估，向县政府提交报告并抄送县应急管理部门。乡镇（街道、开发区）对本行政区域上年度突发事件进行全面评估，向县政府提交报告，并抄送县应急管理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243" w:name="_Toc1261"/>
      <w:r>
        <w:rPr>
          <w:rFonts w:eastAsia="黑体"/>
          <w:color w:val="000000" w:themeColor="text1"/>
          <w:sz w:val="32"/>
          <w:szCs w:val="32"/>
          <w14:textFill>
            <w14:solidFill>
              <w14:schemeClr w14:val="tx1"/>
            </w14:solidFill>
          </w14:textFill>
        </w:rPr>
        <w:t>5  资源保障</w:t>
      </w:r>
      <w:bookmarkEnd w:id="241"/>
      <w:bookmarkEnd w:id="242"/>
      <w:bookmarkEnd w:id="24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244" w:name="_Toc2818"/>
      <w:bookmarkEnd w:id="244"/>
      <w:bookmarkStart w:id="245" w:name="_Toc25179"/>
      <w:bookmarkEnd w:id="245"/>
      <w:bookmarkStart w:id="246" w:name="_Toc13931"/>
      <w:bookmarkEnd w:id="246"/>
      <w:bookmarkStart w:id="247" w:name="_Toc31461"/>
      <w:bookmarkEnd w:id="247"/>
      <w:bookmarkStart w:id="248" w:name="_Toc19237"/>
      <w:bookmarkEnd w:id="248"/>
      <w:bookmarkStart w:id="249" w:name="_Toc3525"/>
      <w:bookmarkEnd w:id="249"/>
      <w:bookmarkStart w:id="250" w:name="_Toc18211"/>
      <w:bookmarkStart w:id="251" w:name="_Toc27434"/>
      <w:bookmarkStart w:id="252" w:name="_Toc11940"/>
      <w:r>
        <w:rPr>
          <w:rFonts w:eastAsia="楷体_GB2312"/>
          <w:color w:val="000000" w:themeColor="text1"/>
          <w:sz w:val="32"/>
          <w:szCs w:val="32"/>
          <w14:textFill>
            <w14:solidFill>
              <w14:schemeClr w14:val="tx1"/>
            </w14:solidFill>
          </w14:textFill>
        </w:rPr>
        <w:t>5.1  人力资源</w:t>
      </w:r>
      <w:bookmarkEnd w:id="250"/>
      <w:bookmarkEnd w:id="251"/>
      <w:bookmarkEnd w:id="25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（1）综合性消防救援队伍是应急救援的主力军，应全面加强能力建设，适用全灾种应急救援需要。县政府应提供必要支持保障。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专业应急队伍是应急处置和救援的骨干力量。县宣传、发展改革、网信、工业和信息化、公安、自然资源和规划、生态环境、住房城乡建设、交通运输、水利、农业农村、文化和旅游、卫生健康、应急、人防等部门根据职能分工和实际需要，在应急管理部门的统筹指导下，建设和管理本行业、本领域的专业应急队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驻郯部队、民兵是应急处置和救援的突击力量。要依法将其纳入应急力量体系建设。建立健全军地协调联动机制，确保统一指挥、信息互通、资源共享、行动协调。按照遂行应急任务能力要求，配备必要的装备，加强针对性训练和演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（4）基层应急队伍是第一时间先期处置的重要力量。乡镇（街道、开发区）及村（居）民委员会应当单独建立或者与有关单位、社会组织共同建立基层应急队伍。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shd w:val="clear" w:color="auto" w:fill="FFFFFF"/>
          <w14:textFill>
            <w14:solidFill>
              <w14:schemeClr w14:val="tx1"/>
            </w14:solidFill>
          </w14:textFill>
        </w:rPr>
      </w:pPr>
      <w:r>
        <w:rPr>
          <w:rFonts w:eastAsia="仿宋_GB2312"/>
          <w:color w:val="000000" w:themeColor="text1"/>
          <w:sz w:val="32"/>
          <w:szCs w:val="32"/>
          <w:shd w:val="clear" w:color="auto" w:fill="FFFFFF"/>
          <w14:textFill>
            <w14:solidFill>
              <w14:schemeClr w14:val="tx1"/>
            </w14:solidFill>
          </w14:textFill>
        </w:rPr>
        <w:t>（5）社会应急队伍是应急救援和处置的辅助力量。县、乡镇（街道、开发区）有关部门要制定相关政策措施，充分发挥红十字会、志愿者等社会力量作用，鼓励引导企事业单位、社会组织及公民个人等依法有序参与应急救援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253" w:name="_Toc19263"/>
      <w:bookmarkEnd w:id="253"/>
      <w:bookmarkStart w:id="254" w:name="_Toc17956"/>
      <w:bookmarkEnd w:id="254"/>
      <w:bookmarkStart w:id="255" w:name="_Toc6039"/>
      <w:bookmarkEnd w:id="255"/>
      <w:bookmarkStart w:id="256" w:name="_Toc28291"/>
      <w:bookmarkEnd w:id="256"/>
      <w:bookmarkStart w:id="257" w:name="_Toc8433"/>
      <w:bookmarkEnd w:id="257"/>
      <w:bookmarkStart w:id="258" w:name="_Toc23352"/>
      <w:bookmarkEnd w:id="258"/>
      <w:bookmarkStart w:id="259" w:name="_Toc32558"/>
      <w:bookmarkStart w:id="260" w:name="_Toc14732"/>
      <w:bookmarkStart w:id="261" w:name="_Toc24219"/>
      <w:r>
        <w:rPr>
          <w:rFonts w:eastAsia="楷体_GB2312"/>
          <w:color w:val="000000" w:themeColor="text1"/>
          <w:sz w:val="32"/>
          <w:szCs w:val="32"/>
          <w14:textFill>
            <w14:solidFill>
              <w14:schemeClr w14:val="tx1"/>
            </w14:solidFill>
          </w14:textFill>
        </w:rPr>
        <w:t>5.2  财力支持</w:t>
      </w:r>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各级政府要将突发事件防范和应对工作所需经费纳入同级财政预算。突发事件所需应急准备、应急演练、救援处置、救灾安置等工作资金由应急管理部门或相关行业主管部门提出，经财政部门审核后，按规定程序列入年度财政预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（2）处置突发事件需要财政负担的经费，按照财政事权和支出责任划分，分级负担。对受突发事件影响较大和财政困难的地区，启动县级应急响应的，应根据实际情况和</w:t>
      </w:r>
      <w:r>
        <w:rPr>
          <w:rFonts w:hint="eastAsia" w:eastAsia="仿宋_GB2312"/>
          <w:color w:val="000000" w:themeColor="text1"/>
          <w:sz w:val="32"/>
          <w:szCs w:val="32"/>
          <w14:textFill>
            <w14:solidFill>
              <w14:schemeClr w14:val="tx1"/>
            </w14:solidFill>
          </w14:textFill>
        </w:rPr>
        <w:t>县、</w:t>
      </w:r>
      <w:r>
        <w:rPr>
          <w:rFonts w:eastAsia="仿宋_GB2312"/>
          <w:color w:val="000000" w:themeColor="text1"/>
          <w:sz w:val="32"/>
          <w:szCs w:val="32"/>
          <w14:textFill>
            <w14:solidFill>
              <w14:schemeClr w14:val="tx1"/>
            </w14:solidFill>
          </w14:textFill>
        </w:rPr>
        <w:t>乡镇（街道、开发区）申请，予以适当财政支持。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（3）各级政府有关部门根据国家的相关政策，研究提出相应的征用补偿或救助政策，必要时报本级政府批准。各级财政和审计部门要对突发事件财政应急保障资金的使用情况进行监督和评估。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（4）鼓励公民、法人或其他组织按照《中华人民共和国慈善法》《中华人民共和国公益事业捐赠法》等有关法律、法规的规定，为应对突发事件提供物资、装备、资金、技术支持和捐赠。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建立健全灾害风险保险体系，鼓励单位和公民参加保险。建立完善巨灾保险制度，推行安全生产、环境污染和食品安全责任保险制度。县、乡镇（街道、开发区）及其有关部门应当为专业救援人员购买人身意外伤害保险，配备必要的防护装备和器材，减少应急救援人员的人身风险。志愿服务组织安排志愿者参与可能发生人身危险的志愿服务活动前，应当为志愿者购买相应的人身意外伤害保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262" w:name="_Toc18747"/>
      <w:bookmarkEnd w:id="262"/>
      <w:bookmarkStart w:id="263" w:name="_Toc25630"/>
      <w:bookmarkEnd w:id="263"/>
      <w:bookmarkStart w:id="264" w:name="_Toc31056"/>
      <w:bookmarkEnd w:id="264"/>
      <w:bookmarkStart w:id="265" w:name="_Toc19417"/>
      <w:bookmarkEnd w:id="265"/>
      <w:bookmarkStart w:id="266" w:name="_Toc15538"/>
      <w:bookmarkEnd w:id="266"/>
      <w:bookmarkStart w:id="267" w:name="_Toc10372"/>
      <w:bookmarkEnd w:id="267"/>
      <w:bookmarkStart w:id="268" w:name="_Toc19159"/>
      <w:bookmarkStart w:id="269" w:name="_Toc30764"/>
      <w:bookmarkStart w:id="270" w:name="_Toc10226"/>
      <w:r>
        <w:rPr>
          <w:rFonts w:eastAsia="楷体_GB2312"/>
          <w:color w:val="000000" w:themeColor="text1"/>
          <w:sz w:val="32"/>
          <w:szCs w:val="32"/>
          <w14:textFill>
            <w14:solidFill>
              <w14:schemeClr w14:val="tx1"/>
            </w14:solidFill>
          </w14:textFill>
        </w:rPr>
        <w:t>5.3  物资装备</w:t>
      </w:r>
      <w:bookmarkEnd w:id="268"/>
      <w:bookmarkEnd w:id="269"/>
      <w:bookmarkEnd w:id="27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县应急管理部门会同发展改革、财政等部门制定应急物资、救援装备储备规划及实施，形成县级储备为基础、乡镇（街道、开发区）级储备为辅助、村级储备为补充的县镇村三级物资储备体系，并完善应急管理协调机制。有关部门按照职能分工加强相关类别应急救援物资、生活必需品和应急处置装备储备，强化县级应急电源、大功率水泵、大功率排水车、森林灭火“引水上山”工程设备、森林防火专用车辆、灭火消防机器人、多用途无人机的储备。商务部门负责生活必需品、重要消费品市场监测和保障市场供应工作。应急管理、发展改革、工业和信息化、财政、粮食和储备等部门按照职能分工，建立健全重要应急物资监测网络、预警体系和应急物资生产、储备、调拨及紧急配送体系，完善应急工作程序，确保所需应急物资和生活用品及时供应，并加强对物资储备的监督管理，及时予以补充和更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（2）县、乡镇（街道、开发区）及其有关部门应根据有关法律、法规和应急预案的规定，做好应急物资储备工作，或与有关企业签订协议，保障应急救援物资、生活必需品和应急救援装备的生产、供给。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（3）县、乡镇（街道、开发区）要加强应急力量训练条件建设，推进应急训练设施开发共享。</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271" w:name="_Toc21647"/>
      <w:bookmarkEnd w:id="271"/>
      <w:bookmarkStart w:id="272" w:name="_Toc26266"/>
      <w:bookmarkEnd w:id="272"/>
      <w:bookmarkStart w:id="273" w:name="_Toc5161"/>
      <w:bookmarkStart w:id="274" w:name="_Toc1803"/>
      <w:bookmarkStart w:id="275" w:name="_Toc9620"/>
      <w:r>
        <w:rPr>
          <w:rFonts w:eastAsia="楷体_GB2312"/>
          <w:color w:val="000000" w:themeColor="text1"/>
          <w:sz w:val="32"/>
          <w:szCs w:val="32"/>
          <w14:textFill>
            <w14:solidFill>
              <w14:schemeClr w14:val="tx1"/>
            </w14:solidFill>
          </w14:textFill>
        </w:rPr>
        <w:t>5.4  科技支撑</w:t>
      </w:r>
      <w:bookmarkEnd w:id="273"/>
      <w:bookmarkEnd w:id="274"/>
      <w:bookmarkEnd w:id="27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县、乡镇（街道、开发区）有关部门要研究制定相关政策措施，鼓励、扶持具备相应条件的教学科研机构培养应急管理人才加强应急管理科技支撑机构建设，积累基础资料，促进科技成果交流共享；研究制定促进公共安全和应急产业发展的政策措施，鼓励、扶持教学科研机构和有关企业研究开发用于突发事件预防、监测、预警、应急救援和处置的新技术、新设备和新工具，提升应急科技支撑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w:t>
      </w:r>
      <w:bookmarkStart w:id="276" w:name="_Toc9600"/>
      <w:bookmarkEnd w:id="276"/>
      <w:bookmarkStart w:id="277" w:name="_Toc629"/>
      <w:bookmarkEnd w:id="277"/>
      <w:r>
        <w:rPr>
          <w:rFonts w:eastAsia="仿宋_GB2312"/>
          <w:color w:val="000000" w:themeColor="text1"/>
          <w:sz w:val="32"/>
          <w:szCs w:val="32"/>
          <w14:textFill>
            <w14:solidFill>
              <w14:schemeClr w14:val="tx1"/>
            </w14:solidFill>
          </w14:textFill>
        </w:rPr>
        <w:t>围绕指挥协调、监测预警、救援处置、风险防范等核心业务，建立全县应急指挥网和乡镇（街道、开发区）应急指挥平台。推进视频会议、视频监控、移动传输、城市安全风险监测预警系统、重点行业领域专业安全监管平台等建设。利用云计算、大数据、感知网络、融合通信等现代信息技术，整合自然灾害风险普查数据、安全生产基础数据等应急资源。实现县、乡镇（街道、开发区）应急指挥平台和有关部门应急指挥平台与国家、省、市应急指挥平台的互联互通，形成指挥救援一体化、企业监管一体化、数据共享一体化的格局，在全县形成快速反应、科学决策、高效指挥的应急救援信息化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278" w:name="_Toc3848"/>
      <w:bookmarkEnd w:id="278"/>
      <w:bookmarkStart w:id="279" w:name="_Toc11292"/>
      <w:bookmarkEnd w:id="279"/>
      <w:bookmarkStart w:id="280" w:name="_Toc32632"/>
      <w:bookmarkEnd w:id="280"/>
      <w:bookmarkStart w:id="281" w:name="_Toc14325"/>
      <w:bookmarkEnd w:id="281"/>
      <w:bookmarkStart w:id="282" w:name="_Toc7601"/>
      <w:bookmarkStart w:id="283" w:name="_Toc32747"/>
      <w:bookmarkStart w:id="284" w:name="_Toc20588"/>
      <w:r>
        <w:rPr>
          <w:rFonts w:eastAsia="黑体"/>
          <w:color w:val="000000" w:themeColor="text1"/>
          <w:sz w:val="32"/>
          <w:szCs w:val="32"/>
          <w14:textFill>
            <w14:solidFill>
              <w14:schemeClr w14:val="tx1"/>
            </w14:solidFill>
          </w14:textFill>
        </w:rPr>
        <w:t>6  责任与奖惩</w:t>
      </w:r>
      <w:bookmarkEnd w:id="282"/>
      <w:bookmarkEnd w:id="283"/>
      <w:bookmarkEnd w:id="28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（1）根据有关规定，建立健全应急管理工作领导负责制和责任追究制度。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公民按照各级政府要求，参加应急救援工作或者协助维护社会秩序期间，其在本单位的工资待遇和福利不变，按照相关规定给予补助；对突发事件应急管理工作中做出突出贡献的有关集体和个人，按照相关规定给予表彰或奖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（3）对迟报、谎报、瞒报和漏报突发事件重要情况，应急处置不力，或在应急管理工作中有其他失职、渎职行为的，依照有关规定给予处分；构成犯罪的，依法追究刑事责任。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285" w:name="_Toc31254"/>
      <w:bookmarkEnd w:id="285"/>
      <w:bookmarkStart w:id="286" w:name="_Toc18226"/>
      <w:bookmarkEnd w:id="286"/>
      <w:bookmarkStart w:id="287" w:name="_Toc15422"/>
      <w:bookmarkStart w:id="288" w:name="_Toc15257"/>
      <w:bookmarkStart w:id="289" w:name="_Toc16339"/>
      <w:r>
        <w:rPr>
          <w:rFonts w:eastAsia="黑体"/>
          <w:color w:val="000000" w:themeColor="text1"/>
          <w:sz w:val="32"/>
          <w:szCs w:val="32"/>
          <w14:textFill>
            <w14:solidFill>
              <w14:schemeClr w14:val="tx1"/>
            </w14:solidFill>
          </w14:textFill>
        </w:rPr>
        <w:t>7  预案管理</w:t>
      </w:r>
      <w:bookmarkEnd w:id="287"/>
      <w:bookmarkEnd w:id="288"/>
      <w:bookmarkEnd w:id="28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290" w:name="_Toc10086"/>
      <w:bookmarkEnd w:id="290"/>
      <w:bookmarkStart w:id="291" w:name="_Toc7788"/>
      <w:bookmarkEnd w:id="291"/>
      <w:bookmarkStart w:id="292" w:name="_Toc16094"/>
      <w:bookmarkEnd w:id="292"/>
      <w:bookmarkStart w:id="293" w:name="_Toc27723"/>
      <w:bookmarkEnd w:id="293"/>
      <w:bookmarkStart w:id="294" w:name="_Toc1518"/>
      <w:bookmarkEnd w:id="294"/>
      <w:bookmarkStart w:id="295" w:name="_Toc17455"/>
      <w:bookmarkEnd w:id="295"/>
      <w:bookmarkStart w:id="296" w:name="_Toc29218"/>
      <w:bookmarkStart w:id="297" w:name="_Toc4015"/>
      <w:bookmarkStart w:id="298" w:name="_Toc3101"/>
      <w:r>
        <w:rPr>
          <w:rFonts w:eastAsia="楷体_GB2312"/>
          <w:color w:val="000000" w:themeColor="text1"/>
          <w:sz w:val="32"/>
          <w:szCs w:val="32"/>
          <w14:textFill>
            <w14:solidFill>
              <w14:schemeClr w14:val="tx1"/>
            </w14:solidFill>
          </w14:textFill>
        </w:rPr>
        <w:t>7.1  </w:t>
      </w:r>
      <w:bookmarkStart w:id="299" w:name="_Toc15970"/>
      <w:bookmarkEnd w:id="299"/>
      <w:r>
        <w:rPr>
          <w:rFonts w:eastAsia="楷体_GB2312"/>
          <w:color w:val="000000" w:themeColor="text1"/>
          <w:sz w:val="32"/>
          <w:szCs w:val="32"/>
          <w14:textFill>
            <w14:solidFill>
              <w14:schemeClr w14:val="tx1"/>
            </w14:solidFill>
          </w14:textFill>
        </w:rPr>
        <w:t>预案编制</w:t>
      </w:r>
      <w:bookmarkEnd w:id="296"/>
      <w:bookmarkEnd w:id="297"/>
      <w:bookmarkEnd w:id="29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县、乡镇（街道、开发区）应急管理部门要会同有关部门（单位）制定本级总体应急预案、专项应急预案的编制修订工作规划，按程序报本级政府批准后实施。专项预案构成种类要及时补充完善。乡镇（街道、开发区）应急预案编制修订工作规划应报县应急管理部门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（2）编制应急预案应当在风险评估、案例研究和应急资源调查的基础上进行，以确保应急预案的可操作性。在预案编制中以情景构建的方式模拟突发事件场景，增强应急预案各项措施有效性。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县、乡镇（街道、开发区）政府及其部门在应急预案编制过程中应广泛听取有关部门、单位和专家的意见。涉及其他单位职责的，应当书面征求相关单位意见。必要时向社会公开征求意见。基层组织和单位应急预案在编制过程中应征求相关公民、法人或其他组织的意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300" w:name="_Toc30162"/>
      <w:bookmarkEnd w:id="300"/>
      <w:bookmarkStart w:id="301" w:name="_Toc28913"/>
      <w:bookmarkEnd w:id="301"/>
      <w:bookmarkStart w:id="302" w:name="_Toc8598"/>
      <w:bookmarkEnd w:id="302"/>
      <w:bookmarkStart w:id="303" w:name="_Toc11873"/>
      <w:bookmarkEnd w:id="303"/>
      <w:bookmarkStart w:id="304" w:name="_Toc7822"/>
      <w:bookmarkEnd w:id="304"/>
      <w:bookmarkStart w:id="305" w:name="_Toc15426"/>
      <w:bookmarkStart w:id="306" w:name="_Toc7816"/>
      <w:bookmarkStart w:id="307" w:name="_Toc24808"/>
      <w:r>
        <w:rPr>
          <w:rFonts w:eastAsia="楷体_GB2312"/>
          <w:color w:val="000000" w:themeColor="text1"/>
          <w:sz w:val="32"/>
          <w:szCs w:val="32"/>
          <w14:textFill>
            <w14:solidFill>
              <w14:schemeClr w14:val="tx1"/>
            </w14:solidFill>
          </w14:textFill>
        </w:rPr>
        <w:t>7.2  预案审批与衔接</w:t>
      </w:r>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级各类应急预案衔接要遵循“下级服从上级，专项、部门服从总体，预案之间不得相互矛盾”的原则。应急管理部门综合协调应急预案衔接工作，负责本级自然灾害、事故灾难类专项应急预案审核以及部门应急预案和下级总体应急预案备案工作。公共卫生、社会安全类事件应急预案的管理工作分别由卫健部门、公安部门负责统筹实施。应急预案审批单位应当在应急预案印发后的20个工作日内依照下列规定向有关单位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bookmarkStart w:id="308" w:name="_Toc5724"/>
      <w:bookmarkEnd w:id="308"/>
      <w:bookmarkStart w:id="309" w:name="_Toc20883"/>
      <w:bookmarkEnd w:id="309"/>
      <w:bookmarkStart w:id="310" w:name="_Toc19915"/>
      <w:bookmarkEnd w:id="310"/>
      <w:bookmarkStart w:id="311" w:name="_Toc4487"/>
      <w:bookmarkEnd w:id="311"/>
      <w:bookmarkStart w:id="312" w:name="_Toc22190"/>
      <w:bookmarkEnd w:id="312"/>
      <w:bookmarkStart w:id="313" w:name="_Toc25923"/>
      <w:bookmarkStart w:id="314" w:name="_Toc23679"/>
      <w:r>
        <w:rPr>
          <w:rFonts w:eastAsia="仿宋_GB2312"/>
          <w:color w:val="000000" w:themeColor="text1"/>
          <w:sz w:val="32"/>
          <w:szCs w:val="32"/>
          <w14:textFill>
            <w14:solidFill>
              <w14:schemeClr w14:val="tx1"/>
            </w14:solidFill>
          </w14:textFill>
        </w:rPr>
        <w:t>（1）各级政府的总体应急预案由应急管理部门组织起草，按程序报请本级政府常务会议审议后公布实施，报上一级政府备案，径送上一级应急管理部门。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（2）各级政府专项应急预案按职责分工由主要牵头部门负责起草，按程序报请本级人民政府批准后印发实施，抄送上一级政府有关主管部门备案。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（3）部门应急预案经部门有关会议审议、本部门主要负责人签发后印发实施，报本级政府和上一级主管部门备案。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（4）基层组织和单位应急预案须与当地政府预案相衔接，经基层组织或本单位主要负责人签发，并按照有关法律法规要求向有关部门备案。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（5）应急预案支撑性文件的审批程序由制订单位确定。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（6）法律、法规另有规定的从其规定。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315" w:name="_Toc16584"/>
      <w:r>
        <w:rPr>
          <w:rFonts w:eastAsia="楷体_GB2312"/>
          <w:color w:val="000000" w:themeColor="text1"/>
          <w:sz w:val="32"/>
          <w:szCs w:val="32"/>
          <w14:textFill>
            <w14:solidFill>
              <w14:schemeClr w14:val="tx1"/>
            </w14:solidFill>
          </w14:textFill>
        </w:rPr>
        <w:t>7.3  预案演练</w:t>
      </w:r>
      <w:bookmarkEnd w:id="313"/>
      <w:bookmarkEnd w:id="314"/>
      <w:bookmarkEnd w:id="31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预案编制单位应当建立应急演练制度，根据实际情况采取实战演练、桌面推演等方式，常态化开展形式多样、节约高效的应急演练。各级专项应急预案、部门应急预案至少每2年进行一次应急演练。法律、法规和国家另有规定的，从其规定。如预案发生重大调整，需及时按照新的预案开展演练。应急管理部门负责指导预案演练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（2）各级专项应急预案编制牵头部门（单位）应当主动组织开展应急演练，涉及的相关部门（单位）要积极配合参与。部门预案应按规定进行应急演练。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（3）县政府及其有关部门要有计划、有重点地组织相关部门对应急预案进行演练，特别是对涉及领域多、需多方配合的应急预案要开展综合性演练。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（4）乡镇（街道、开发区）每年至少组织一次本级预案应急演练。村（居）、企事业单位应当结合实际经常性开展应急演练。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316" w:name="_Toc1826"/>
      <w:bookmarkEnd w:id="316"/>
      <w:bookmarkStart w:id="317" w:name="_Toc18959"/>
      <w:bookmarkEnd w:id="317"/>
      <w:bookmarkStart w:id="318" w:name="_Toc14164"/>
      <w:bookmarkEnd w:id="318"/>
      <w:bookmarkStart w:id="319" w:name="_Toc11871"/>
      <w:bookmarkEnd w:id="319"/>
      <w:bookmarkStart w:id="320" w:name="_Toc4041"/>
      <w:bookmarkEnd w:id="320"/>
      <w:bookmarkStart w:id="321" w:name="_Toc28089"/>
      <w:bookmarkEnd w:id="321"/>
      <w:bookmarkStart w:id="322" w:name="_Toc26179"/>
      <w:bookmarkStart w:id="323" w:name="_Toc5248"/>
      <w:bookmarkStart w:id="324" w:name="_Toc23903"/>
      <w:r>
        <w:rPr>
          <w:rFonts w:eastAsia="楷体_GB2312"/>
          <w:color w:val="000000" w:themeColor="text1"/>
          <w:sz w:val="32"/>
          <w:szCs w:val="32"/>
          <w14:textFill>
            <w14:solidFill>
              <w14:schemeClr w14:val="tx1"/>
            </w14:solidFill>
          </w14:textFill>
        </w:rPr>
        <w:t>7.4  预案评估与修订</w:t>
      </w:r>
      <w:bookmarkEnd w:id="322"/>
      <w:bookmarkEnd w:id="323"/>
      <w:bookmarkEnd w:id="32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（1）应急预案编制单位应当建立定期评估制度，分析评价预案内容的针对性、实用性和可操作性，实现应急预案的动态优化和科学规范管理。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（2）有下列情形之一的，应当及时修订应急预案：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①有关法律、法规、规章、标准、上位预案中的有关规定发生变化的；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②应急指挥机构及其职责发生重大调整的；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③面临的风险发生重大变化的；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④重要应急资源发生重大变化的；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⑤预案中的其他重要信息发生变化的；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⑥在突发事件实际应对和应急演练中发现问题需要作出重大调整的；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⑦应急预案制定单位认为应当修订的其他情况。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应急预案修订涉及组织指挥体系与职责、应急处置程序、主要处置措施、响应分级标准等重要内容的，修订工作应按照本预案“预案审批与衔接”部分有关要求组织进行。仅涉及其他内容的，修订程序可适当简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楷体_GB2312"/>
          <w:color w:val="000000" w:themeColor="text1"/>
          <w:sz w:val="32"/>
          <w:szCs w:val="32"/>
          <w14:textFill>
            <w14:solidFill>
              <w14:schemeClr w14:val="tx1"/>
            </w14:solidFill>
          </w14:textFill>
        </w:rPr>
      </w:pPr>
      <w:bookmarkStart w:id="325" w:name="_Toc29106"/>
      <w:bookmarkEnd w:id="325"/>
      <w:bookmarkStart w:id="326" w:name="_Toc1469"/>
      <w:bookmarkEnd w:id="326"/>
      <w:bookmarkStart w:id="327" w:name="_Toc20307"/>
      <w:bookmarkEnd w:id="327"/>
      <w:bookmarkStart w:id="328" w:name="_Toc11869"/>
      <w:bookmarkEnd w:id="328"/>
      <w:bookmarkStart w:id="329" w:name="_Toc14171"/>
      <w:bookmarkEnd w:id="329"/>
      <w:bookmarkStart w:id="330" w:name="_Toc17218"/>
      <w:bookmarkEnd w:id="330"/>
      <w:bookmarkStart w:id="331" w:name="_Toc21518"/>
      <w:bookmarkStart w:id="332" w:name="_Toc9403"/>
      <w:bookmarkStart w:id="333" w:name="_Toc20612"/>
      <w:r>
        <w:rPr>
          <w:rFonts w:eastAsia="楷体_GB2312"/>
          <w:color w:val="000000" w:themeColor="text1"/>
          <w:sz w:val="32"/>
          <w:szCs w:val="32"/>
          <w14:textFill>
            <w14:solidFill>
              <w14:schemeClr w14:val="tx1"/>
            </w14:solidFill>
          </w14:textFill>
        </w:rPr>
        <w:t>7.5  宣传和培训</w:t>
      </w:r>
      <w:bookmarkEnd w:id="331"/>
      <w:bookmarkEnd w:id="332"/>
      <w:bookmarkEnd w:id="33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新闻宣传、文化和旅游、广播电视、工业和信息化、应急管理等部门要通过图书、报刊、音像制品和电子出版物、广播、电视、网络、手机等渠道，广泛宣传应急法律法规和预防、避险、自救、互救、减灾等知识，增强公众的忧患意识、社会责任意识、公共安全和风险防范意识，提高全社会的避险能力和自救互救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（2）教育主管部门应当督导指导各级各类学校、幼儿园把应急知识教育纳入教学内容，对学生进行应急知识教育，培养学生的安全意识和自救与互救能力。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各级政府及其有关部门要建立健全突发事件应急管理培训制度，针对本地区、本行业特点定期开展突发事件应急预案的宣传和教育培训工作。专项应急指挥部办公室或专项应急预案编制牵头部门应组织指挥部各成员单位，针对相关专项应急预案进行工作培训，提高应对突发事件的决策和处置能力。新闻媒体应当无偿开展突发事件预防与应急、自救与互救知识的公益宣传。企事业单位应当定期开展应急管理法律法规、安全管理制度、安全操作规程以及应急知识等方面的教育与培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eastAsia="黑体"/>
          <w:color w:val="000000" w:themeColor="text1"/>
          <w:sz w:val="32"/>
          <w:szCs w:val="32"/>
          <w14:textFill>
            <w14:solidFill>
              <w14:schemeClr w14:val="tx1"/>
            </w14:solidFill>
          </w14:textFill>
        </w:rPr>
      </w:pPr>
      <w:bookmarkStart w:id="334" w:name="_Toc23112"/>
      <w:bookmarkEnd w:id="334"/>
      <w:bookmarkStart w:id="335" w:name="_Toc21779"/>
      <w:bookmarkEnd w:id="335"/>
      <w:bookmarkStart w:id="336" w:name="_Toc23301"/>
      <w:bookmarkEnd w:id="336"/>
      <w:bookmarkStart w:id="337" w:name="_Toc5747"/>
      <w:bookmarkEnd w:id="337"/>
      <w:bookmarkStart w:id="338" w:name="_Toc1829"/>
      <w:bookmarkEnd w:id="338"/>
      <w:bookmarkStart w:id="339" w:name="_Toc15010"/>
      <w:bookmarkEnd w:id="339"/>
      <w:bookmarkStart w:id="340" w:name="_Toc1061"/>
      <w:bookmarkStart w:id="341" w:name="_Toc25483"/>
      <w:bookmarkStart w:id="342" w:name="_Toc10073"/>
      <w:r>
        <w:rPr>
          <w:rFonts w:eastAsia="黑体"/>
          <w:color w:val="000000" w:themeColor="text1"/>
          <w:sz w:val="32"/>
          <w:szCs w:val="32"/>
          <w14:textFill>
            <w14:solidFill>
              <w14:schemeClr w14:val="tx1"/>
            </w14:solidFill>
          </w14:textFill>
        </w:rPr>
        <w:t>8  附则</w:t>
      </w:r>
      <w:bookmarkEnd w:id="340"/>
      <w:bookmarkEnd w:id="341"/>
      <w:bookmarkEnd w:id="34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本预案涉及县政府有关部门，乡镇（街道、开发区）及有关部门、群众自治组织、企事业单位等按本预案的规定履行职责，并制定、完善相应的应急预案及其支撑性文件。县应急管理局应当加强本预案实施的跟踪分析、督促检查、综合协调，并根据需要及时组织评估，向县政府提出修订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color w:val="000000" w:themeColor="text1"/>
          <w:sz w:val="32"/>
          <w:szCs w:val="32"/>
          <w14:textFill>
            <w14:solidFill>
              <w14:schemeClr w14:val="tx1"/>
            </w14:solidFill>
          </w14:textFill>
        </w:rPr>
        <w:sectPr>
          <w:footerReference r:id="rId18" w:type="default"/>
          <w:pgSz w:w="11906" w:h="16838"/>
          <w:pgMar w:top="1814" w:right="1587" w:bottom="1701" w:left="1587" w:header="851" w:footer="992" w:gutter="0"/>
          <w:pgNumType w:fmt="numberInDash"/>
          <w:cols w:space="425" w:num="1"/>
          <w:docGrid w:type="lines" w:linePitch="312" w:charSpace="0"/>
        </w:sectPr>
      </w:pPr>
      <w:r>
        <w:rPr>
          <w:rFonts w:eastAsia="仿宋_GB2312"/>
          <w:color w:val="000000" w:themeColor="text1"/>
          <w:sz w:val="32"/>
          <w:szCs w:val="32"/>
          <w14:textFill>
            <w14:solidFill>
              <w14:schemeClr w14:val="tx1"/>
            </w14:solidFill>
          </w14:textFill>
        </w:rPr>
        <w:t>（2）本预案自发布之日起实施。《郯城县人民政府关于印发郯城县突发事件总体应急预案的通知》（郯政发〔2016〕23号）同时废止。</w:t>
      </w:r>
      <w:bookmarkStart w:id="343" w:name="_Toc272"/>
      <w:bookmarkEnd w:id="343"/>
      <w:bookmarkStart w:id="344" w:name="_Toc15589"/>
      <w:bookmarkEnd w:id="344"/>
    </w:p>
    <w:p>
      <w:pPr>
        <w:pStyle w:val="27"/>
        <w:spacing w:line="560" w:lineRule="exact"/>
        <w:ind w:left="0"/>
        <w:jc w:val="center"/>
        <w:rPr>
          <w:rFonts w:hint="eastAsia" w:ascii="仿宋_GB2312" w:hAnsi="穝灿砰" w:eastAsia="仿宋_GB2312"/>
          <w:sz w:val="32"/>
          <w:szCs w:val="32"/>
        </w:rPr>
      </w:pPr>
    </w:p>
    <w:p>
      <w:pPr>
        <w:pStyle w:val="27"/>
        <w:keepNext w:val="0"/>
        <w:keepLines w:val="0"/>
        <w:pageBreakBefore w:val="0"/>
        <w:kinsoku/>
        <w:wordWrap/>
        <w:overflowPunct/>
        <w:topLinePunct w:val="0"/>
        <w:autoSpaceDE/>
        <w:autoSpaceDN/>
        <w:bidi w:val="0"/>
        <w:adjustRightInd/>
        <w:spacing w:line="500" w:lineRule="exact"/>
        <w:ind w:left="0"/>
        <w:jc w:val="center"/>
        <w:rPr>
          <w:rFonts w:hint="eastAsia" w:ascii="仿宋_GB2312" w:hAnsi="穝灿砰" w:eastAsia="仿宋_GB2312"/>
          <w:sz w:val="32"/>
          <w:szCs w:val="32"/>
        </w:rPr>
      </w:pPr>
    </w:p>
    <w:p>
      <w:pPr>
        <w:pStyle w:val="27"/>
        <w:keepNext w:val="0"/>
        <w:keepLines w:val="0"/>
        <w:pageBreakBefore w:val="0"/>
        <w:kinsoku/>
        <w:wordWrap/>
        <w:overflowPunct/>
        <w:topLinePunct w:val="0"/>
        <w:autoSpaceDE/>
        <w:autoSpaceDN/>
        <w:bidi w:val="0"/>
        <w:adjustRightInd/>
        <w:spacing w:line="500" w:lineRule="exact"/>
        <w:ind w:left="0"/>
        <w:jc w:val="center"/>
        <w:rPr>
          <w:rFonts w:hint="eastAsia" w:ascii="仿宋_GB2312" w:hAnsi="穝灿砰" w:eastAsia="仿宋_GB2312"/>
          <w:sz w:val="32"/>
          <w:szCs w:val="32"/>
        </w:rPr>
      </w:pPr>
    </w:p>
    <w:p>
      <w:pPr>
        <w:pStyle w:val="27"/>
        <w:keepNext w:val="0"/>
        <w:keepLines w:val="0"/>
        <w:pageBreakBefore w:val="0"/>
        <w:kinsoku/>
        <w:wordWrap/>
        <w:overflowPunct/>
        <w:topLinePunct w:val="0"/>
        <w:autoSpaceDE/>
        <w:autoSpaceDN/>
        <w:bidi w:val="0"/>
        <w:adjustRightInd/>
        <w:spacing w:line="500" w:lineRule="exact"/>
        <w:ind w:left="0"/>
        <w:jc w:val="center"/>
        <w:rPr>
          <w:rFonts w:hint="eastAsia" w:ascii="仿宋_GB2312" w:hAnsi="穝灿砰" w:eastAsia="仿宋_GB2312"/>
          <w:sz w:val="32"/>
          <w:szCs w:val="32"/>
        </w:rPr>
      </w:pPr>
    </w:p>
    <w:p>
      <w:pPr>
        <w:pStyle w:val="27"/>
        <w:keepNext w:val="0"/>
        <w:keepLines w:val="0"/>
        <w:pageBreakBefore w:val="0"/>
        <w:kinsoku/>
        <w:wordWrap/>
        <w:overflowPunct/>
        <w:topLinePunct w:val="0"/>
        <w:autoSpaceDE/>
        <w:autoSpaceDN/>
        <w:bidi w:val="0"/>
        <w:adjustRightInd/>
        <w:spacing w:line="500" w:lineRule="exact"/>
        <w:ind w:left="0"/>
        <w:jc w:val="center"/>
        <w:rPr>
          <w:rFonts w:hint="eastAsia" w:ascii="仿宋_GB2312" w:hAnsi="穝灿砰" w:eastAsia="仿宋_GB2312"/>
          <w:sz w:val="32"/>
          <w:szCs w:val="32"/>
        </w:rPr>
      </w:pPr>
    </w:p>
    <w:p>
      <w:pPr>
        <w:pStyle w:val="27"/>
        <w:keepNext w:val="0"/>
        <w:keepLines w:val="0"/>
        <w:pageBreakBefore w:val="0"/>
        <w:kinsoku/>
        <w:wordWrap/>
        <w:overflowPunct/>
        <w:topLinePunct w:val="0"/>
        <w:autoSpaceDE/>
        <w:autoSpaceDN/>
        <w:bidi w:val="0"/>
        <w:adjustRightInd/>
        <w:spacing w:line="500" w:lineRule="exact"/>
        <w:ind w:left="0"/>
        <w:jc w:val="center"/>
        <w:rPr>
          <w:rFonts w:hint="eastAsia" w:ascii="仿宋_GB2312" w:hAnsi="穝灿砰" w:eastAsia="仿宋_GB2312"/>
          <w:sz w:val="32"/>
          <w:szCs w:val="32"/>
        </w:rPr>
      </w:pPr>
    </w:p>
    <w:p>
      <w:pPr>
        <w:pStyle w:val="27"/>
        <w:keepNext w:val="0"/>
        <w:keepLines w:val="0"/>
        <w:pageBreakBefore w:val="0"/>
        <w:kinsoku/>
        <w:wordWrap/>
        <w:overflowPunct/>
        <w:topLinePunct w:val="0"/>
        <w:autoSpaceDE/>
        <w:autoSpaceDN/>
        <w:bidi w:val="0"/>
        <w:adjustRightInd/>
        <w:spacing w:line="500" w:lineRule="exact"/>
        <w:ind w:left="0"/>
        <w:jc w:val="center"/>
        <w:rPr>
          <w:rFonts w:hint="eastAsia" w:ascii="仿宋_GB2312" w:hAnsi="穝灿砰" w:eastAsia="仿宋_GB2312"/>
          <w:sz w:val="32"/>
          <w:szCs w:val="32"/>
        </w:rPr>
      </w:pPr>
      <w:r>
        <w:rPr>
          <w:rFonts w:hint="eastAsia" w:ascii="仿宋_GB2312" w:hAnsi="穝灿砰" w:eastAsia="仿宋_GB2312"/>
          <w:sz w:val="32"/>
          <w:szCs w:val="32"/>
        </w:rPr>
        <w:t>郯政字〔202</w:t>
      </w:r>
      <w:r>
        <w:rPr>
          <w:rFonts w:hint="eastAsia" w:ascii="仿宋_GB2312" w:hAnsi="穝灿砰" w:eastAsia="仿宋_GB2312"/>
          <w:sz w:val="32"/>
          <w:szCs w:val="32"/>
          <w:lang w:val="en-US" w:eastAsia="zh-CN"/>
        </w:rPr>
        <w:t>2</w:t>
      </w:r>
      <w:r>
        <w:rPr>
          <w:rFonts w:hint="eastAsia" w:ascii="仿宋_GB2312" w:hAnsi="穝灿砰" w:eastAsia="仿宋_GB2312"/>
          <w:sz w:val="32"/>
          <w:szCs w:val="32"/>
        </w:rPr>
        <w:t>〕</w:t>
      </w:r>
      <w:r>
        <w:rPr>
          <w:rFonts w:hint="eastAsia" w:ascii="仿宋_GB2312" w:hAnsi="穝灿砰" w:eastAsia="仿宋_GB2312"/>
          <w:sz w:val="32"/>
          <w:szCs w:val="32"/>
          <w:lang w:val="en-US" w:eastAsia="zh-CN"/>
        </w:rPr>
        <w:t>54</w:t>
      </w:r>
      <w:r>
        <w:rPr>
          <w:rFonts w:hint="eastAsia" w:ascii="仿宋_GB2312" w:hAnsi="穝灿砰" w:eastAsia="仿宋_GB2312"/>
          <w:sz w:val="32"/>
          <w:szCs w:val="32"/>
        </w:rPr>
        <w:t>号</w:t>
      </w:r>
    </w:p>
    <w:p>
      <w:pPr>
        <w:pStyle w:val="27"/>
        <w:keepNext w:val="0"/>
        <w:keepLines w:val="0"/>
        <w:pageBreakBefore w:val="0"/>
        <w:kinsoku/>
        <w:wordWrap/>
        <w:overflowPunct/>
        <w:topLinePunct w:val="0"/>
        <w:autoSpaceDE/>
        <w:autoSpaceDN/>
        <w:bidi w:val="0"/>
        <w:adjustRightInd/>
        <w:spacing w:line="500" w:lineRule="exact"/>
        <w:ind w:left="0"/>
        <w:jc w:val="center"/>
        <w:rPr>
          <w:rFonts w:hint="eastAsia" w:ascii="仿宋_GB2312" w:hAnsi="穝灿砰" w:eastAsia="仿宋_GB2312"/>
          <w:sz w:val="32"/>
          <w:szCs w:val="32"/>
        </w:rPr>
      </w:pP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郯城县人民政府</w:t>
      </w:r>
    </w:p>
    <w:p>
      <w:pPr>
        <w:keepNext w:val="0"/>
        <w:keepLines w:val="0"/>
        <w:pageBreakBefore w:val="0"/>
        <w:kinsoku/>
        <w:wordWrap/>
        <w:overflowPunct/>
        <w:topLinePunct w:val="0"/>
        <w:autoSpaceDE/>
        <w:autoSpaceDN/>
        <w:bidi w:val="0"/>
        <w:adjustRightInd/>
        <w:snapToGrid/>
        <w:spacing w:line="500" w:lineRule="exact"/>
        <w:jc w:val="center"/>
        <w:textAlignment w:val="auto"/>
        <w:rPr>
          <w:rFonts w:eastAsia="方正小标宋简体"/>
          <w:sz w:val="44"/>
          <w:szCs w:val="44"/>
        </w:rPr>
      </w:pPr>
      <w:r>
        <w:rPr>
          <w:rFonts w:eastAsia="方正小标宋简体"/>
          <w:sz w:val="44"/>
          <w:szCs w:val="44"/>
        </w:rPr>
        <w:t>关于给予</w:t>
      </w:r>
      <w:r>
        <w:rPr>
          <w:rFonts w:hint="eastAsia" w:eastAsia="方正小标宋简体"/>
          <w:sz w:val="44"/>
          <w:szCs w:val="44"/>
          <w:lang w:val="en-US" w:eastAsia="zh-CN"/>
        </w:rPr>
        <w:t>县公安局宋国良等3名同志嘉奖</w:t>
      </w:r>
      <w:r>
        <w:rPr>
          <w:rFonts w:eastAsia="方正小标宋简体"/>
          <w:sz w:val="44"/>
          <w:szCs w:val="44"/>
        </w:rPr>
        <w:t>的</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决   定</w:t>
      </w:r>
    </w:p>
    <w:p>
      <w:pPr>
        <w:keepNext w:val="0"/>
        <w:keepLines w:val="0"/>
        <w:pageBreakBefore w:val="0"/>
        <w:kinsoku/>
        <w:wordWrap/>
        <w:overflowPunct/>
        <w:topLinePunct w:val="0"/>
        <w:autoSpaceDE/>
        <w:autoSpaceDN/>
        <w:bidi w:val="0"/>
        <w:adjustRightInd/>
        <w:snapToGrid/>
        <w:spacing w:line="5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color w:val="000000"/>
          <w:sz w:val="32"/>
          <w:szCs w:val="32"/>
        </w:rPr>
      </w:pPr>
      <w:r>
        <w:rPr>
          <w:rFonts w:hint="eastAsia" w:ascii="仿宋_GB2312" w:eastAsia="仿宋_GB2312"/>
          <w:bCs/>
          <w:sz w:val="32"/>
          <w:szCs w:val="32"/>
        </w:rPr>
        <w:t>今年以来，在县委、县政府的坚强领导下，全县公安机关和全体民警，</w:t>
      </w:r>
      <w:r>
        <w:rPr>
          <w:rFonts w:hint="eastAsia" w:ascii="仿宋_GB2312" w:eastAsia="仿宋_GB2312"/>
          <w:color w:val="000000"/>
          <w:sz w:val="32"/>
          <w:szCs w:val="32"/>
        </w:rPr>
        <w:t>以党的二十大安保维稳工作为主线，</w:t>
      </w:r>
      <w:r>
        <w:rPr>
          <w:rFonts w:hint="eastAsia" w:ascii="仿宋_GB2312" w:eastAsia="仿宋_GB2312"/>
          <w:bCs/>
          <w:sz w:val="32"/>
          <w:szCs w:val="32"/>
        </w:rPr>
        <w:t>紧紧围绕</w:t>
      </w:r>
      <w:r>
        <w:rPr>
          <w:rFonts w:hint="eastAsia" w:ascii="仿宋_GB2312" w:eastAsia="仿宋_GB2312"/>
          <w:sz w:val="32"/>
          <w:szCs w:val="32"/>
        </w:rPr>
        <w:t>破案打击、信访维稳、规范执法等重点工作</w:t>
      </w:r>
      <w:r>
        <w:rPr>
          <w:rFonts w:hint="eastAsia" w:ascii="仿宋_GB2312" w:eastAsia="仿宋_GB2312"/>
          <w:bCs/>
          <w:sz w:val="32"/>
          <w:szCs w:val="32"/>
        </w:rPr>
        <w:t>，忠诚履职、担当作为，</w:t>
      </w:r>
      <w:r>
        <w:rPr>
          <w:rFonts w:hint="eastAsia" w:ascii="仿宋_GB2312" w:eastAsia="仿宋_GB2312"/>
          <w:color w:val="000000"/>
          <w:sz w:val="32"/>
          <w:szCs w:val="32"/>
        </w:rPr>
        <w:t>为维护社会稳定、建设平安郯城做出了积极贡献。其中，部分基层一线民警工作成效明显、成绩突出。</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为</w:t>
      </w:r>
      <w:r>
        <w:rPr>
          <w:rFonts w:hint="eastAsia" w:ascii="仿宋_GB2312" w:eastAsia="仿宋_GB2312"/>
          <w:sz w:val="32"/>
          <w:szCs w:val="32"/>
          <w:lang w:val="en-US" w:eastAsia="zh-CN"/>
        </w:rPr>
        <w:t>表扬</w:t>
      </w:r>
      <w:r>
        <w:rPr>
          <w:rFonts w:hint="eastAsia" w:ascii="仿宋_GB2312" w:eastAsia="仿宋_GB2312"/>
          <w:sz w:val="32"/>
          <w:szCs w:val="32"/>
        </w:rPr>
        <w:t>先进，鼓舞斗志，进一步激发全体民警的工作热情，推进全县公安工作更好发展，</w:t>
      </w:r>
      <w:r>
        <w:rPr>
          <w:rFonts w:hint="eastAsia" w:ascii="仿宋_GB2312" w:eastAsia="仿宋_GB2312"/>
          <w:sz w:val="32"/>
          <w:szCs w:val="32"/>
          <w:lang w:val="en-US" w:eastAsia="zh-CN"/>
        </w:rPr>
        <w:t>决定</w:t>
      </w:r>
      <w:r>
        <w:rPr>
          <w:rFonts w:hint="eastAsia" w:ascii="仿宋_GB2312" w:eastAsia="仿宋_GB2312"/>
          <w:sz w:val="32"/>
          <w:szCs w:val="32"/>
          <w:lang w:eastAsia="zh-CN"/>
        </w:rPr>
        <w:t>给予</w:t>
      </w:r>
      <w:r>
        <w:rPr>
          <w:rFonts w:hint="eastAsia" w:ascii="仿宋_GB2312" w:eastAsia="仿宋_GB2312"/>
          <w:sz w:val="32"/>
          <w:szCs w:val="32"/>
        </w:rPr>
        <w:t>在破案打击工作中表现突出的宋国良等3名同志嘉奖。</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附件：嘉奖人员名单</w:t>
      </w:r>
    </w:p>
    <w:p>
      <w:pPr>
        <w:keepNext w:val="0"/>
        <w:keepLines w:val="0"/>
        <w:pageBreakBefore w:val="0"/>
        <w:kinsoku/>
        <w:wordWrap/>
        <w:overflowPunct/>
        <w:topLinePunct w:val="0"/>
        <w:autoSpaceDE/>
        <w:autoSpaceDN/>
        <w:bidi w:val="0"/>
        <w:adjustRightInd/>
        <w:snapToGrid/>
        <w:spacing w:line="500" w:lineRule="exact"/>
        <w:ind w:right="-193" w:firstLine="6240" w:firstLineChars="1950"/>
        <w:textAlignment w:val="auto"/>
        <w:rPr>
          <w:rFonts w:hint="eastAsia" w:ascii="仿宋_GB2312" w:eastAsia="仿宋_GB2312"/>
          <w:kern w:val="0"/>
          <w:sz w:val="32"/>
          <w:szCs w:val="32"/>
        </w:rPr>
      </w:pPr>
    </w:p>
    <w:p>
      <w:pPr>
        <w:keepNext w:val="0"/>
        <w:keepLines w:val="0"/>
        <w:pageBreakBefore w:val="0"/>
        <w:kinsoku/>
        <w:wordWrap/>
        <w:overflowPunct/>
        <w:topLinePunct w:val="0"/>
        <w:autoSpaceDE/>
        <w:autoSpaceDN/>
        <w:bidi w:val="0"/>
        <w:adjustRightInd/>
        <w:snapToGrid/>
        <w:spacing w:line="500" w:lineRule="exact"/>
        <w:ind w:right="-193" w:firstLine="6240" w:firstLineChars="1950"/>
        <w:textAlignment w:val="auto"/>
        <w:rPr>
          <w:rFonts w:hint="eastAsia" w:ascii="仿宋_GB2312" w:eastAsia="仿宋_GB2312"/>
          <w:kern w:val="0"/>
          <w:sz w:val="32"/>
          <w:szCs w:val="32"/>
        </w:rPr>
      </w:pPr>
    </w:p>
    <w:p>
      <w:pPr>
        <w:keepNext w:val="0"/>
        <w:keepLines w:val="0"/>
        <w:pageBreakBefore w:val="0"/>
        <w:kinsoku/>
        <w:wordWrap/>
        <w:overflowPunct/>
        <w:topLinePunct w:val="0"/>
        <w:autoSpaceDE/>
        <w:autoSpaceDN/>
        <w:bidi w:val="0"/>
        <w:adjustRightInd/>
        <w:snapToGrid/>
        <w:spacing w:line="500" w:lineRule="exact"/>
        <w:ind w:right="-193" w:firstLine="6240" w:firstLineChars="1950"/>
        <w:textAlignment w:val="auto"/>
        <w:rPr>
          <w:rFonts w:hint="eastAsia" w:ascii="仿宋_GB2312" w:eastAsia="仿宋_GB2312"/>
          <w:sz w:val="32"/>
          <w:szCs w:val="32"/>
          <w:lang w:eastAsia="zh-CN"/>
        </w:rPr>
      </w:pPr>
      <w:r>
        <w:rPr>
          <w:rFonts w:hint="eastAsia" w:ascii="仿宋_GB2312" w:eastAsia="仿宋_GB2312"/>
          <w:kern w:val="0"/>
          <w:sz w:val="32"/>
          <w:szCs w:val="32"/>
        </w:rPr>
        <w:t>郯城县人民政府</w:t>
      </w:r>
    </w:p>
    <w:p>
      <w:pPr>
        <w:keepNext w:val="0"/>
        <w:keepLines w:val="0"/>
        <w:pageBreakBefore w:val="0"/>
        <w:widowControl w:val="0"/>
        <w:kinsoku/>
        <w:wordWrap/>
        <w:overflowPunct/>
        <w:topLinePunct w:val="0"/>
        <w:autoSpaceDE/>
        <w:autoSpaceDN/>
        <w:bidi w:val="0"/>
        <w:adjustRightInd/>
        <w:snapToGrid/>
        <w:spacing w:line="500" w:lineRule="exact"/>
        <w:ind w:firstLine="6080" w:firstLineChars="1900"/>
        <w:textAlignment w:val="auto"/>
        <w:rPr>
          <w:rFonts w:hint="eastAsia" w:ascii="仿宋_GB2312" w:eastAsia="仿宋_GB2312"/>
          <w:sz w:val="32"/>
          <w:szCs w:val="32"/>
        </w:rPr>
      </w:pPr>
      <w:r>
        <w:rPr>
          <w:rFonts w:hint="eastAsia" w:ascii="仿宋_GB2312" w:eastAsia="仿宋_GB2312"/>
          <w:sz w:val="32"/>
          <w:szCs w:val="32"/>
        </w:rPr>
        <w:t>2022年</w:t>
      </w:r>
      <w:r>
        <w:rPr>
          <w:rFonts w:hint="eastAsia" w:ascii="仿宋_GB2312" w:eastAsia="仿宋_GB2312"/>
          <w:sz w:val="32"/>
          <w:szCs w:val="32"/>
          <w:lang w:val="en-US" w:eastAsia="zh-CN"/>
        </w:rPr>
        <w:t>11</w:t>
      </w:r>
      <w:r>
        <w:rPr>
          <w:rFonts w:hint="eastAsia" w:ascii="仿宋_GB2312" w:eastAsia="仿宋_GB2312"/>
          <w:sz w:val="32"/>
          <w:szCs w:val="32"/>
        </w:rPr>
        <w:t>月</w:t>
      </w:r>
      <w:r>
        <w:rPr>
          <w:rFonts w:hint="eastAsia" w:ascii="仿宋_GB2312" w:eastAsia="仿宋_GB2312"/>
          <w:sz w:val="32"/>
          <w:szCs w:val="32"/>
          <w:lang w:val="en-US" w:eastAsia="zh-CN"/>
        </w:rPr>
        <w:t>21</w:t>
      </w:r>
      <w:r>
        <w:rPr>
          <w:rFonts w:hint="eastAsia" w:ascii="仿宋_GB2312" w:eastAsia="仿宋_GB2312"/>
          <w:sz w:val="32"/>
          <w:szCs w:val="32"/>
        </w:rPr>
        <w:t xml:space="preserve">日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eastAsia="仿宋_GB2312"/>
          <w:sz w:val="32"/>
          <w:szCs w:val="32"/>
          <w:lang w:val="en-US" w:eastAsia="zh-CN"/>
        </w:rPr>
      </w:pPr>
      <w:r>
        <w:rPr>
          <w:rFonts w:ascii="仿宋_GB2312" w:eastAsia="仿宋_GB2312"/>
          <w:sz w:val="32"/>
          <w:szCs w:val="32"/>
        </w:rPr>
        <w:br w:type="page"/>
      </w:r>
      <w:r>
        <w:rPr>
          <w:rFonts w:hint="eastAsia" w:ascii="黑体" w:hAnsi="黑体" w:eastAsia="黑体" w:cs="黑体"/>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eastAsia="仿宋_GB2312"/>
          <w:sz w:val="32"/>
          <w:szCs w:val="32"/>
          <w:lang w:val="en-US" w:eastAsia="zh-CN"/>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嘉奖人员名单</w:t>
      </w:r>
    </w:p>
    <w:p>
      <w:pPr>
        <w:spacing w:line="600" w:lineRule="exact"/>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宋国良  县公安局</w:t>
      </w:r>
      <w:r>
        <w:rPr>
          <w:rFonts w:ascii="仿宋_GB2312" w:eastAsia="仿宋_GB2312"/>
          <w:sz w:val="32"/>
          <w:szCs w:val="32"/>
        </w:rPr>
        <w:t>城区警务服务中心主任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pacing w:val="-17"/>
          <w:sz w:val="32"/>
          <w:szCs w:val="32"/>
        </w:rPr>
      </w:pPr>
      <w:r>
        <w:rPr>
          <w:rFonts w:hint="eastAsia" w:ascii="仿宋_GB2312" w:eastAsia="仿宋_GB2312"/>
          <w:sz w:val="32"/>
          <w:szCs w:val="32"/>
        </w:rPr>
        <w:t xml:space="preserve">徐成烈  </w:t>
      </w:r>
      <w:r>
        <w:rPr>
          <w:rFonts w:hint="eastAsia" w:ascii="仿宋_GB2312" w:eastAsia="仿宋_GB2312"/>
          <w:spacing w:val="-17"/>
          <w:sz w:val="32"/>
          <w:szCs w:val="32"/>
        </w:rPr>
        <w:t>县公安局</w:t>
      </w:r>
      <w:r>
        <w:rPr>
          <w:rFonts w:ascii="仿宋_GB2312" w:eastAsia="仿宋_GB2312"/>
          <w:spacing w:val="-17"/>
          <w:sz w:val="32"/>
          <w:szCs w:val="32"/>
        </w:rPr>
        <w:t>城区警务服务中心治安服务一中队副中队长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李  森  县公安局</w:t>
      </w:r>
      <w:r>
        <w:rPr>
          <w:rFonts w:ascii="仿宋_GB2312" w:eastAsia="仿宋_GB2312"/>
          <w:sz w:val="32"/>
          <w:szCs w:val="32"/>
        </w:rPr>
        <w:t>城区警务服务中心治安服务一中队</w:t>
      </w:r>
      <w:r>
        <w:rPr>
          <w:rFonts w:hint="eastAsia" w:ascii="仿宋_GB2312" w:eastAsia="仿宋_GB2312"/>
          <w:sz w:val="32"/>
          <w:szCs w:val="32"/>
        </w:rPr>
        <w:t>民警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p>
    <w:p>
      <w:pPr>
        <w:spacing w:line="560" w:lineRule="exact"/>
        <w:rPr>
          <w:rFonts w:eastAsia="仿宋_GB2312"/>
          <w:color w:val="FF0000"/>
          <w:sz w:val="32"/>
          <w:szCs w:val="32"/>
        </w:rPr>
      </w:pPr>
    </w:p>
    <w:p>
      <w:pPr>
        <w:rPr>
          <w:rFonts w:hint="eastAsia"/>
          <w:lang w:val="en-US" w:eastAsia="zh-CN"/>
        </w:rPr>
      </w:pPr>
      <w:r>
        <w:rPr>
          <w:rFonts w:hint="eastAsia"/>
          <w:lang w:val="en-US" w:eastAsia="zh-CN"/>
        </w:rPr>
        <w:br w:type="page"/>
      </w:r>
    </w:p>
    <w:p>
      <w:pPr>
        <w:pStyle w:val="6"/>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w:t>
      </w:r>
      <w:r>
        <w:rPr>
          <w:rFonts w:hint="eastAsia" w:ascii="仿宋_GB2312" w:hAnsi="仿宋_GB2312" w:eastAsia="仿宋_GB2312" w:cs="仿宋_GB2312"/>
          <w:sz w:val="32"/>
          <w:szCs w:val="32"/>
          <w:lang w:eastAsia="zh-CN"/>
        </w:rPr>
        <w:t>发</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rPr>
        <w:t>号</w:t>
      </w:r>
    </w:p>
    <w:p>
      <w:pPr>
        <w:keepNext w:val="0"/>
        <w:keepLines w:val="0"/>
        <w:pageBreakBefore w:val="0"/>
        <w:widowControl/>
        <w:kinsoku/>
        <w:wordWrap/>
        <w:overflowPunct/>
        <w:topLinePunct w:val="0"/>
        <w:autoSpaceDE w:val="0"/>
        <w:autoSpaceDN w:val="0"/>
        <w:bidi w:val="0"/>
        <w:adjustRightInd/>
        <w:snapToGrid/>
        <w:spacing w:line="600" w:lineRule="exact"/>
        <w:jc w:val="center"/>
        <w:textAlignment w:val="auto"/>
        <w:rPr>
          <w:rFonts w:hint="eastAsia" w:ascii="文星标宋" w:hAnsi="Calibri" w:eastAsia="文星标宋" w:cs="宋体"/>
          <w:kern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eastAsia="zh-CN"/>
        </w:rPr>
        <w:t>郯城县</w:t>
      </w:r>
      <w:r>
        <w:rPr>
          <w:rFonts w:hint="eastAsia" w:ascii="方正小标宋简体" w:eastAsia="方正小标宋简体" w:cs="Times New Roman"/>
          <w:spacing w:val="0"/>
          <w:kern w:val="2"/>
          <w:sz w:val="44"/>
          <w:szCs w:val="44"/>
          <w:lang w:val="en-US"/>
        </w:rPr>
        <w:t>人民政府办公室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rPr>
        <w:t>关于</w:t>
      </w:r>
      <w:r>
        <w:rPr>
          <w:rFonts w:hint="eastAsia" w:ascii="方正小标宋简体" w:eastAsia="方正小标宋简体" w:cs="Times New Roman"/>
          <w:spacing w:val="0"/>
          <w:kern w:val="2"/>
          <w:sz w:val="44"/>
          <w:szCs w:val="44"/>
          <w:lang w:val="en-US" w:eastAsia="zh-CN"/>
        </w:rPr>
        <w:t>调整</w:t>
      </w:r>
      <w:r>
        <w:rPr>
          <w:rFonts w:ascii="方正小标宋简体" w:eastAsia="方正小标宋简体" w:cs="Times New Roman"/>
          <w:spacing w:val="0"/>
          <w:kern w:val="2"/>
          <w:sz w:val="44"/>
          <w:szCs w:val="44"/>
          <w:lang w:val="en-US"/>
        </w:rPr>
        <w:t>202</w:t>
      </w:r>
      <w:r>
        <w:rPr>
          <w:rFonts w:hint="eastAsia" w:ascii="方正小标宋简体" w:eastAsia="方正小标宋简体" w:cs="Times New Roman"/>
          <w:spacing w:val="0"/>
          <w:kern w:val="2"/>
          <w:sz w:val="44"/>
          <w:szCs w:val="44"/>
          <w:lang w:val="en-US" w:eastAsia="zh-CN"/>
        </w:rPr>
        <w:t>2年度</w:t>
      </w:r>
      <w:r>
        <w:rPr>
          <w:rFonts w:hint="eastAsia" w:ascii="方正小标宋简体" w:eastAsia="方正小标宋简体" w:cs="Times New Roman"/>
          <w:spacing w:val="0"/>
          <w:kern w:val="2"/>
          <w:sz w:val="44"/>
          <w:szCs w:val="44"/>
          <w:lang w:val="en-US"/>
        </w:rPr>
        <w:t>县政府重大行政决策</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rPr>
        <w:t>事项目录的通知</w:t>
      </w:r>
    </w:p>
    <w:p>
      <w:pPr>
        <w:pStyle w:val="6"/>
        <w:keepNext w:val="0"/>
        <w:keepLines w:val="0"/>
        <w:pageBreakBefore w:val="0"/>
        <w:widowControl w:val="0"/>
        <w:kinsoku/>
        <w:wordWrap/>
        <w:overflowPunct/>
        <w:topLinePunct w:val="0"/>
        <w:autoSpaceDE w:val="0"/>
        <w:autoSpaceDN w:val="0"/>
        <w:bidi w:val="0"/>
        <w:adjustRightInd/>
        <w:snapToGrid/>
        <w:spacing w:after="0" w:line="560" w:lineRule="exact"/>
        <w:textAlignment w:val="auto"/>
        <w:rPr>
          <w:rFonts w:hint="eastAsia"/>
          <w:lang w:val="en-US"/>
        </w:rPr>
      </w:pPr>
    </w:p>
    <w:p>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default" w:ascii="Times New Roman" w:hAnsi="Times New Roman" w:eastAsia="仿宋_GB2312" w:cs="Times New Roman"/>
          <w:color w:val="000000"/>
          <w:kern w:val="0"/>
          <w:sz w:val="32"/>
        </w:rPr>
      </w:pPr>
      <w:r>
        <w:rPr>
          <w:rFonts w:hint="default" w:ascii="Times New Roman" w:hAnsi="Times New Roman" w:eastAsia="仿宋_GB2312" w:cs="Times New Roman"/>
          <w:color w:val="000000"/>
          <w:kern w:val="0"/>
          <w:sz w:val="32"/>
        </w:rPr>
        <w:t>各乡镇人民政府、郯城街道办事处，县政府各部门，科级以上事业单位，省、市驻郯各单位，郯城经济开发区管委会，马陵山景区管委会，新村银杏产业开发区管委会：</w:t>
      </w:r>
    </w:p>
    <w:p>
      <w:pPr>
        <w:keepNext w:val="0"/>
        <w:keepLines w:val="0"/>
        <w:pageBreakBefore w:val="0"/>
        <w:widowControl w:val="0"/>
        <w:kinsoku/>
        <w:wordWrap/>
        <w:overflowPunct/>
        <w:topLinePunct w:val="0"/>
        <w:autoSpaceDE w:val="0"/>
        <w:autoSpaceDN w:val="0"/>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kern w:val="0"/>
          <w:sz w:val="32"/>
        </w:rPr>
        <w:t>经县政府</w:t>
      </w:r>
      <w:r>
        <w:rPr>
          <w:rFonts w:hint="eastAsia" w:ascii="仿宋_GB2312" w:hAnsi="仿宋_GB2312" w:eastAsia="仿宋_GB2312" w:cs="仿宋_GB2312"/>
          <w:color w:val="000000"/>
          <w:kern w:val="0"/>
          <w:sz w:val="32"/>
          <w:lang w:val="en-US" w:eastAsia="zh-CN"/>
        </w:rPr>
        <w:t>研究</w:t>
      </w:r>
      <w:r>
        <w:rPr>
          <w:rFonts w:hint="eastAsia" w:ascii="仿宋_GB2312" w:hAnsi="仿宋_GB2312" w:eastAsia="仿宋_GB2312" w:cs="仿宋_GB2312"/>
          <w:color w:val="000000"/>
          <w:kern w:val="0"/>
          <w:sz w:val="32"/>
        </w:rPr>
        <w:t>同意，现</w:t>
      </w:r>
      <w:r>
        <w:rPr>
          <w:rFonts w:hint="eastAsia" w:ascii="仿宋_GB2312" w:hAnsi="仿宋_GB2312" w:eastAsia="仿宋_GB2312" w:cs="仿宋_GB2312"/>
          <w:color w:val="000000"/>
          <w:kern w:val="0"/>
          <w:sz w:val="32"/>
          <w:lang w:val="en-US" w:eastAsia="zh-CN"/>
        </w:rPr>
        <w:t>将调整后的</w:t>
      </w:r>
      <w:r>
        <w:rPr>
          <w:rFonts w:hint="eastAsia" w:ascii="仿宋_GB2312" w:hAnsi="仿宋_GB2312" w:eastAsia="仿宋_GB2312" w:cs="仿宋_GB2312"/>
          <w:color w:val="000000"/>
          <w:kern w:val="0"/>
          <w:sz w:val="32"/>
        </w:rPr>
        <w:t>2022年重大行政决策事项目录公布</w:t>
      </w:r>
      <w:r>
        <w:rPr>
          <w:rFonts w:hint="eastAsia" w:ascii="仿宋_GB2312" w:hAnsi="仿宋_GB2312" w:eastAsia="仿宋_GB2312" w:cs="仿宋_GB2312"/>
          <w:color w:val="000000"/>
          <w:kern w:val="0"/>
          <w:sz w:val="32"/>
          <w:lang w:val="en-US" w:eastAsia="zh-CN"/>
        </w:rPr>
        <w:t>如下，请结合工作实际认真遵照执行</w:t>
      </w:r>
      <w:r>
        <w:rPr>
          <w:rFonts w:hint="eastAsia" w:ascii="仿宋_GB2312" w:hAnsi="仿宋_GB2312" w:eastAsia="仿宋_GB2312" w:cs="仿宋_GB2312"/>
          <w:color w:val="000000"/>
          <w:kern w:val="0"/>
          <w:sz w:val="32"/>
        </w:rPr>
        <w:t>。</w:t>
      </w:r>
    </w:p>
    <w:p>
      <w:pPr>
        <w:keepNext w:val="0"/>
        <w:keepLines w:val="0"/>
        <w:pageBreakBefore w:val="0"/>
        <w:widowControl w:val="0"/>
        <w:kinsoku/>
        <w:wordWrap/>
        <w:overflowPunct/>
        <w:topLinePunct w:val="0"/>
        <w:autoSpaceDE w:val="0"/>
        <w:autoSpaceDN w:val="0"/>
        <w:bidi w:val="0"/>
        <w:adjustRightInd/>
        <w:snapToGrid/>
        <w:spacing w:line="500" w:lineRule="exact"/>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附件：县政府2022年度重大行政决策事项目录（调整后）</w:t>
      </w:r>
    </w:p>
    <w:p>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firstLine="5120" w:firstLineChars="16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firstLine="5760" w:firstLineChars="18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w:t>
      </w:r>
    </w:p>
    <w:p>
      <w:pPr>
        <w:keepNext w:val="0"/>
        <w:keepLines w:val="0"/>
        <w:pageBreakBefore w:val="0"/>
        <w:widowControl w:val="0"/>
        <w:kinsoku/>
        <w:wordWrap/>
        <w:overflowPunct/>
        <w:topLinePunct w:val="0"/>
        <w:autoSpaceDE w:val="0"/>
        <w:autoSpaceDN w:val="0"/>
        <w:bidi w:val="0"/>
        <w:adjustRightInd/>
        <w:snapToGrid/>
        <w:spacing w:line="500" w:lineRule="exact"/>
        <w:ind w:firstLine="5760" w:firstLineChars="18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2022年12月14日</w:t>
      </w:r>
    </w:p>
    <w:p>
      <w:pPr>
        <w:keepNext w:val="0"/>
        <w:keepLines w:val="0"/>
        <w:pageBreakBefore w:val="0"/>
        <w:kinsoku/>
        <w:wordWrap/>
        <w:overflowPunct/>
        <w:topLinePunct w:val="0"/>
        <w:autoSpaceDE w:val="0"/>
        <w:autoSpaceDN w:val="0"/>
        <w:bidi w:val="0"/>
        <w:adjustRightInd/>
        <w:snapToGrid/>
        <w:spacing w:line="520" w:lineRule="exact"/>
        <w:jc w:val="both"/>
        <w:textAlignment w:val="auto"/>
        <w:rPr>
          <w:rFonts w:hint="eastAsia" w:ascii="黑体" w:hAnsi="黑体" w:eastAsia="黑体" w:cs="仿宋"/>
          <w:bCs/>
          <w:sz w:val="32"/>
          <w:szCs w:val="32"/>
        </w:rPr>
      </w:pPr>
    </w:p>
    <w:p>
      <w:pPr>
        <w:keepNext w:val="0"/>
        <w:keepLines w:val="0"/>
        <w:pageBreakBefore w:val="0"/>
        <w:kinsoku/>
        <w:wordWrap/>
        <w:overflowPunct/>
        <w:topLinePunct w:val="0"/>
        <w:autoSpaceDE w:val="0"/>
        <w:autoSpaceDN w:val="0"/>
        <w:bidi w:val="0"/>
        <w:adjustRightInd/>
        <w:snapToGrid/>
        <w:spacing w:line="520" w:lineRule="exact"/>
        <w:jc w:val="both"/>
        <w:textAlignment w:val="auto"/>
        <w:rPr>
          <w:rFonts w:hint="eastAsia" w:ascii="黑体" w:hAnsi="黑体" w:eastAsia="黑体" w:cs="仿宋"/>
          <w:bCs/>
          <w:sz w:val="32"/>
          <w:szCs w:val="32"/>
        </w:rPr>
      </w:pPr>
      <w:r>
        <w:rPr>
          <w:rFonts w:hint="eastAsia" w:ascii="黑体" w:hAnsi="黑体" w:eastAsia="黑体" w:cs="仿宋"/>
          <w:bCs/>
          <w:sz w:val="32"/>
          <w:szCs w:val="32"/>
        </w:rPr>
        <w:t>附件</w:t>
      </w:r>
    </w:p>
    <w:p>
      <w:pPr>
        <w:pStyle w:val="6"/>
        <w:rPr>
          <w:rFonts w:hint="eastAsia"/>
        </w:rPr>
      </w:pPr>
    </w:p>
    <w:p>
      <w:pPr>
        <w:jc w:val="center"/>
        <w:rPr>
          <w:rFonts w:hint="eastAsia" w:ascii="方正小标宋简体" w:hAnsi="方正小标宋简体" w:eastAsia="方正小标宋简体" w:cs="方正小标宋简体"/>
          <w:spacing w:val="-20"/>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县政府2022年度重大行政决策事项目录（调整后）</w:t>
      </w:r>
    </w:p>
    <w:tbl>
      <w:tblPr>
        <w:tblStyle w:val="18"/>
        <w:tblpPr w:leftFromText="180" w:rightFromText="180" w:vertAnchor="text" w:horzAnchor="page" w:tblpXSpec="center" w:tblpY="238"/>
        <w:tblOverlap w:val="never"/>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5556"/>
        <w:gridCol w:w="2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序号</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决策事项名称</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bidi="ar-SA"/>
              </w:rPr>
            </w:pPr>
            <w:r>
              <w:rPr>
                <w:rFonts w:hint="eastAsia" w:ascii="Times New Roman" w:hAnsi="Times New Roman" w:eastAsia="文星仿宋" w:cs="Times New Roman"/>
                <w:kern w:val="0"/>
                <w:sz w:val="28"/>
                <w:szCs w:val="28"/>
                <w:lang w:val="en-US" w:eastAsia="zh-CN" w:bidi="ar-SA"/>
              </w:rPr>
              <w:t>1</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郯城县</w:t>
            </w:r>
            <w:r>
              <w:rPr>
                <w:rFonts w:hint="eastAsia" w:ascii="Times New Roman" w:hAnsi="Times New Roman" w:eastAsia="仿宋_GB2312" w:cs="Times New Roman"/>
                <w:sz w:val="28"/>
                <w:szCs w:val="28"/>
                <w:lang w:eastAsia="zh-CN"/>
              </w:rPr>
              <w:t>制造业智能化改造和数字化转型</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sz w:val="28"/>
                <w:szCs w:val="28"/>
                <w:lang w:eastAsia="zh-CN"/>
              </w:rPr>
              <w:t>“十四五”发展规划</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w:t>
            </w:r>
            <w:r>
              <w:rPr>
                <w:rFonts w:hint="eastAsia" w:ascii="Times New Roman" w:hAnsi="Times New Roman" w:eastAsia="仿宋_GB2312" w:cs="Times New Roman"/>
                <w:sz w:val="28"/>
                <w:szCs w:val="28"/>
                <w:lang w:eastAsia="zh-CN"/>
              </w:rPr>
              <w:t>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kern w:val="0"/>
                <w:sz w:val="28"/>
                <w:szCs w:val="28"/>
                <w:lang w:val="en-US" w:eastAsia="zh-CN" w:bidi="ar-SA"/>
              </w:rPr>
            </w:pPr>
            <w:r>
              <w:rPr>
                <w:rFonts w:hint="eastAsia" w:ascii="Times New Roman" w:hAnsi="Times New Roman" w:eastAsia="文星仿宋" w:cs="Times New Roman"/>
                <w:kern w:val="0"/>
                <w:sz w:val="28"/>
                <w:szCs w:val="28"/>
                <w:lang w:val="en-US" w:eastAsia="zh-CN" w:bidi="ar-SA"/>
              </w:rPr>
              <w:t>2</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郯城县应急物资储备体系建设规划（2021—2030年）</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kern w:val="0"/>
                <w:sz w:val="28"/>
                <w:szCs w:val="28"/>
                <w:lang w:val="en-US" w:eastAsia="zh-CN" w:bidi="ar-SA"/>
              </w:rPr>
            </w:pPr>
            <w:r>
              <w:rPr>
                <w:rFonts w:hint="eastAsia" w:ascii="Times New Roman" w:hAnsi="Times New Roman" w:eastAsia="文星仿宋" w:cs="Times New Roman"/>
                <w:sz w:val="28"/>
                <w:szCs w:val="28"/>
                <w:lang w:val="en-US" w:eastAsia="zh-CN"/>
              </w:rPr>
              <w:t>3</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郯城县应急能力提升三年行动方案（2022-2024年）</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bidi="ar-SA"/>
              </w:rPr>
            </w:pPr>
            <w:r>
              <w:rPr>
                <w:rFonts w:hint="eastAsia" w:ascii="Times New Roman" w:hAnsi="Times New Roman" w:eastAsia="文星仿宋" w:cs="Times New Roman"/>
                <w:kern w:val="0"/>
                <w:sz w:val="28"/>
                <w:szCs w:val="28"/>
                <w:lang w:val="en-US" w:eastAsia="zh-CN"/>
              </w:rPr>
              <w:t>4</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sz w:val="28"/>
                <w:szCs w:val="28"/>
                <w:lang w:eastAsia="zh-CN"/>
              </w:rPr>
              <w:t>郯城县“十四五”综合防灾减灾规划</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kern w:val="0"/>
                <w:sz w:val="28"/>
                <w:szCs w:val="28"/>
                <w:lang w:val="en-US" w:eastAsia="zh-CN" w:bidi="ar-SA"/>
              </w:rPr>
            </w:pPr>
            <w:r>
              <w:rPr>
                <w:rFonts w:hint="eastAsia" w:ascii="Times New Roman" w:hAnsi="Times New Roman" w:eastAsia="文星仿宋" w:cs="Times New Roman"/>
                <w:kern w:val="0"/>
                <w:sz w:val="28"/>
                <w:szCs w:val="28"/>
                <w:lang w:val="en-US" w:eastAsia="zh-CN"/>
              </w:rPr>
              <w:t>5</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郯城县突发事件总体应急预案</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县应急管理局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rPr>
            </w:pPr>
            <w:r>
              <w:rPr>
                <w:rFonts w:hint="eastAsia" w:ascii="Times New Roman" w:hAnsi="Times New Roman" w:eastAsia="文星仿宋" w:cs="Times New Roman"/>
                <w:kern w:val="0"/>
                <w:sz w:val="28"/>
                <w:szCs w:val="28"/>
                <w:lang w:val="en-US" w:eastAsia="zh-CN"/>
              </w:rPr>
              <w:t>6</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郯城县“十四五”推进农业农村现代化规划</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exact"/>
          <w:jc w:val="center"/>
        </w:trPr>
        <w:tc>
          <w:tcPr>
            <w:tcW w:w="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rPr>
            </w:pPr>
            <w:r>
              <w:rPr>
                <w:rFonts w:hint="eastAsia" w:ascii="Times New Roman" w:hAnsi="Times New Roman" w:eastAsia="文星仿宋" w:cs="Times New Roman"/>
                <w:kern w:val="0"/>
                <w:sz w:val="28"/>
                <w:szCs w:val="28"/>
                <w:lang w:val="en-US" w:eastAsia="zh-CN"/>
              </w:rPr>
              <w:t>7</w:t>
            </w:r>
          </w:p>
        </w:tc>
        <w:tc>
          <w:tcPr>
            <w:tcW w:w="55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郯城县生态环境保护“十四五”规划</w:t>
            </w:r>
          </w:p>
        </w:tc>
        <w:tc>
          <w:tcPr>
            <w:tcW w:w="25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市</w:t>
            </w:r>
            <w:r>
              <w:rPr>
                <w:rFonts w:hint="default" w:ascii="Times New Roman" w:hAnsi="Times New Roman" w:eastAsia="仿宋_GB2312" w:cs="Times New Roman"/>
                <w:sz w:val="28"/>
                <w:szCs w:val="28"/>
              </w:rPr>
              <w:t>生态环境局</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sz w:val="28"/>
                <w:szCs w:val="28"/>
                <w:lang w:val="en-US" w:eastAsia="zh-CN"/>
              </w:rPr>
              <w:t>郯城县分局</w:t>
            </w:r>
          </w:p>
        </w:tc>
      </w:tr>
    </w:tbl>
    <w:p>
      <w: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60</w:t>
      </w:r>
      <w:r>
        <w:rPr>
          <w:rFonts w:hint="eastAsia" w:ascii="仿宋_GB2312" w:hAnsi="仿宋_GB2312" w:eastAsia="仿宋_GB2312" w:cs="仿宋_GB2312"/>
          <w:sz w:val="32"/>
          <w:szCs w:val="32"/>
          <w:lang w:val="en-US" w:eastAsia="zh-CN"/>
        </w:rPr>
        <w:t>号</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eastAsia="方正小标宋简体"/>
          <w:sz w:val="44"/>
        </w:rPr>
      </w:pPr>
      <w:r>
        <w:rPr>
          <w:rFonts w:hint="eastAsia" w:ascii="方正小标宋简体" w:eastAsia="方正小标宋简体"/>
          <w:sz w:val="44"/>
        </w:rPr>
        <w:t>关于郯城县城区部分道路命名</w:t>
      </w:r>
      <w:r>
        <w:rPr>
          <w:rFonts w:hint="eastAsia" w:ascii="方正小标宋简体" w:hAnsi="方正小标宋简体" w:eastAsia="方正小标宋简体" w:cs="方正小标宋简体"/>
          <w:sz w:val="44"/>
          <w:szCs w:val="36"/>
          <w:lang w:eastAsia="zh-CN"/>
        </w:rPr>
        <w:t>、更名</w:t>
      </w:r>
      <w:r>
        <w:rPr>
          <w:rFonts w:hint="eastAsia" w:ascii="方正小标宋简体" w:hAnsi="方正小标宋简体" w:eastAsia="方正小标宋简体" w:cs="方正小标宋简体"/>
          <w:sz w:val="44"/>
          <w:szCs w:val="36"/>
        </w:rPr>
        <w:t>的</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eastAsia="方正小标宋简体"/>
          <w:sz w:val="44"/>
        </w:rPr>
      </w:pPr>
      <w:r>
        <w:rPr>
          <w:rFonts w:hint="eastAsia" w:ascii="方正小标宋简体" w:eastAsia="方正小标宋简体"/>
          <w:sz w:val="44"/>
        </w:rPr>
        <w:t>批</w:t>
      </w:r>
      <w:r>
        <w:rPr>
          <w:rFonts w:hint="eastAsia" w:ascii="方正小标宋简体" w:eastAsia="方正小标宋简体"/>
          <w:sz w:val="44"/>
          <w:lang w:val="en-US" w:eastAsia="zh-CN"/>
        </w:rPr>
        <w:t xml:space="preserve">  </w:t>
      </w:r>
      <w:r>
        <w:rPr>
          <w:rFonts w:hint="eastAsia" w:ascii="方正小标宋简体" w:eastAsia="方正小标宋简体"/>
          <w:sz w:val="44"/>
        </w:rPr>
        <w:t>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overflowPunct/>
        <w:topLinePunct w:val="0"/>
        <w:autoSpaceDE/>
        <w:autoSpaceDN/>
        <w:bidi w:val="0"/>
        <w:adjustRightInd/>
        <w:snapToGrid/>
        <w:spacing w:line="600" w:lineRule="exact"/>
        <w:textAlignment w:val="auto"/>
        <w:rPr>
          <w:rFonts w:hint="default" w:ascii="Times New Roman" w:hAnsi="Times New Roman" w:eastAsia="仿宋_GB2312" w:cs="Times New Roman"/>
          <w:kern w:val="0"/>
          <w:sz w:val="32"/>
          <w:szCs w:val="32"/>
          <w:shd w:val="clear" w:fill="FFFFFF"/>
          <w:lang w:val="en-US" w:eastAsia="zh-CN" w:bidi="ar"/>
        </w:rPr>
      </w:pPr>
      <w:r>
        <w:rPr>
          <w:rFonts w:hint="default" w:ascii="Times New Roman" w:hAnsi="Times New Roman" w:eastAsia="仿宋_GB2312" w:cs="Times New Roman"/>
          <w:sz w:val="32"/>
        </w:rPr>
        <w:t>县民政局：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经县政府202</w:t>
      </w:r>
      <w:r>
        <w:rPr>
          <w:rFonts w:hint="eastAsia" w:ascii="Times New Roman" w:hAnsi="Times New Roman" w:eastAsia="仿宋_GB2312"/>
          <w:sz w:val="32"/>
          <w:lang w:val="en-US" w:eastAsia="zh-CN"/>
        </w:rPr>
        <w:t>2</w:t>
      </w:r>
      <w:r>
        <w:rPr>
          <w:rFonts w:hint="eastAsia" w:ascii="Times New Roman" w:hAnsi="Times New Roman" w:eastAsia="仿宋_GB2312"/>
          <w:sz w:val="32"/>
        </w:rPr>
        <w:t>年第</w:t>
      </w:r>
      <w:r>
        <w:rPr>
          <w:rFonts w:hint="eastAsia" w:ascii="Times New Roman" w:hAnsi="Times New Roman" w:eastAsia="仿宋_GB2312"/>
          <w:sz w:val="32"/>
          <w:lang w:val="en-US" w:eastAsia="zh-CN"/>
        </w:rPr>
        <w:t>17</w:t>
      </w:r>
      <w:r>
        <w:rPr>
          <w:rFonts w:hint="eastAsia" w:ascii="Times New Roman" w:hAnsi="Times New Roman" w:eastAsia="仿宋_GB2312"/>
          <w:sz w:val="32"/>
        </w:rPr>
        <w:t>次常务会议研究，同意你局提出的</w:t>
      </w:r>
      <w:r>
        <w:rPr>
          <w:rFonts w:hint="eastAsia" w:ascii="Times New Roman" w:hAnsi="Times New Roman" w:eastAsia="仿宋_GB2312"/>
          <w:sz w:val="32"/>
          <w:lang w:eastAsia="zh-CN"/>
        </w:rPr>
        <w:t>对城区部门道路进行命名、更名的</w:t>
      </w:r>
      <w:r>
        <w:rPr>
          <w:rFonts w:hint="eastAsia" w:ascii="Times New Roman" w:hAnsi="Times New Roman" w:eastAsia="仿宋_GB2312"/>
          <w:sz w:val="32"/>
        </w:rPr>
        <w:t>方案，批复如下：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1.郯国古城西侧路段，北起建设路，南至南外环，命名为“问官路”；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2.新修</w:t>
      </w:r>
      <w:r>
        <w:rPr>
          <w:rFonts w:hint="eastAsia" w:ascii="Times New Roman" w:hAnsi="Times New Roman" w:eastAsia="仿宋_GB2312"/>
          <w:sz w:val="32"/>
          <w:lang w:eastAsia="zh-CN"/>
        </w:rPr>
        <w:t>建</w:t>
      </w:r>
      <w:r>
        <w:rPr>
          <w:rFonts w:hint="eastAsia" w:ascii="Times New Roman" w:hAnsi="Times New Roman" w:eastAsia="仿宋_GB2312"/>
          <w:sz w:val="32"/>
        </w:rPr>
        <w:t>北起马陵山路（府东佳园东侧），南至人民路（未来城东侧）路段，命名为“卸庄路”；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3.新修建东起滨湖小镇，西至郯西路（郯城县北城实验小学门口）路段，命名为“田园路”；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4.郯子公园北侧道路，东起</w:t>
      </w:r>
      <w:r>
        <w:rPr>
          <w:rFonts w:hint="eastAsia" w:ascii="Times New Roman" w:hAnsi="Times New Roman" w:eastAsia="仿宋_GB2312"/>
          <w:sz w:val="32"/>
          <w:lang w:eastAsia="zh-CN"/>
        </w:rPr>
        <w:t>郯东</w:t>
      </w:r>
      <w:r>
        <w:rPr>
          <w:rFonts w:hint="eastAsia" w:ascii="Times New Roman" w:hAnsi="Times New Roman" w:eastAsia="仿宋_GB2312"/>
          <w:sz w:val="32"/>
        </w:rPr>
        <w:t>路，西至郯西路路段，命名为“公园北路”；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5.郯子公园南侧道路，东起</w:t>
      </w:r>
      <w:r>
        <w:rPr>
          <w:rFonts w:hint="eastAsia" w:ascii="Times New Roman" w:hAnsi="Times New Roman" w:eastAsia="仿宋_GB2312"/>
          <w:sz w:val="32"/>
          <w:lang w:eastAsia="zh-CN"/>
        </w:rPr>
        <w:t>郯东路</w:t>
      </w:r>
      <w:r>
        <w:rPr>
          <w:rFonts w:hint="eastAsia" w:ascii="Times New Roman" w:hAnsi="Times New Roman" w:eastAsia="仿宋_GB2312"/>
          <w:sz w:val="32"/>
        </w:rPr>
        <w:t>向西延伸，至郯子公园南门向南延伸至人民路路段，命名为“公园南路”；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6.新修建东起工业路（奥德燃气南邻），西至西圈子村西路段，命名为“恒昌路”；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7.新修建北起205国道和白马河交汇处北侧，南至花园镇新马庄村，白马河西侧路段，命名为“白马河西路”；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8.新修建北起205国道和白马河交汇处南侧，南至花园镇小官庄村，白马河东侧路段，命名为“白马河东路”；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9.新修建前东庄回迁房西侧道路，北起新郯城街道卫生院，南至文</w:t>
      </w:r>
      <w:r>
        <w:rPr>
          <w:rFonts w:hint="eastAsia" w:ascii="Times New Roman" w:hAnsi="Times New Roman" w:eastAsia="仿宋_GB2312"/>
          <w:sz w:val="32"/>
          <w:lang w:eastAsia="zh-CN"/>
        </w:rPr>
        <w:t>化</w:t>
      </w:r>
      <w:r>
        <w:rPr>
          <w:rFonts w:hint="eastAsia" w:ascii="Times New Roman" w:hAnsi="Times New Roman" w:eastAsia="仿宋_GB2312"/>
          <w:sz w:val="32"/>
        </w:rPr>
        <w:t>路路段，命名为“东庄路”；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sz w:val="32"/>
          <w:lang w:val="en-US" w:eastAsia="zh-CN"/>
        </w:rPr>
      </w:pPr>
      <w:r>
        <w:rPr>
          <w:rFonts w:hint="eastAsia" w:ascii="Times New Roman" w:hAnsi="Times New Roman" w:eastAsia="仿宋_GB2312"/>
          <w:sz w:val="32"/>
          <w:lang w:val="en-US" w:eastAsia="zh-CN"/>
        </w:rPr>
        <w:t>10.新修建东起郯东路，西至新205国道，系师郯路西延，全路段命名为“师郯路”；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w:t>
      </w:r>
      <w:r>
        <w:rPr>
          <w:rFonts w:hint="eastAsia" w:ascii="Times New Roman" w:hAnsi="Times New Roman" w:eastAsia="仿宋_GB2312"/>
          <w:sz w:val="32"/>
          <w:lang w:val="en-US" w:eastAsia="zh-CN"/>
        </w:rPr>
        <w:t>1</w:t>
      </w:r>
      <w:r>
        <w:rPr>
          <w:rFonts w:hint="eastAsia" w:ascii="Times New Roman" w:hAnsi="Times New Roman" w:eastAsia="仿宋_GB2312"/>
          <w:sz w:val="32"/>
        </w:rPr>
        <w:t>.新修建古城御街南侧东西路，东起205国道，西至问官路路段，命名为“园林路”。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w:t>
      </w:r>
      <w:r>
        <w:rPr>
          <w:rFonts w:hint="eastAsia" w:ascii="Times New Roman" w:hAnsi="Times New Roman" w:eastAsia="仿宋_GB2312"/>
          <w:sz w:val="32"/>
          <w:lang w:val="en-US" w:eastAsia="zh-CN"/>
        </w:rPr>
        <w:t>2</w:t>
      </w:r>
      <w:r>
        <w:rPr>
          <w:rFonts w:hint="eastAsia" w:ascii="Times New Roman" w:hAnsi="Times New Roman" w:eastAsia="仿宋_GB2312"/>
          <w:sz w:val="32"/>
        </w:rPr>
        <w:t>.新修建北起郯薛线，南至师郯路沭河西岸路段，系沭河路向北延伸，全路段更名为“沭河西路”；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w:t>
      </w:r>
      <w:r>
        <w:rPr>
          <w:rFonts w:hint="eastAsia" w:ascii="Times New Roman" w:hAnsi="Times New Roman" w:eastAsia="仿宋_GB2312"/>
          <w:sz w:val="32"/>
          <w:lang w:val="en-US" w:eastAsia="zh-CN"/>
        </w:rPr>
        <w:t>3</w:t>
      </w:r>
      <w:r>
        <w:rPr>
          <w:rFonts w:hint="eastAsia" w:ascii="Times New Roman" w:hAnsi="Times New Roman" w:eastAsia="仿宋_GB2312"/>
          <w:sz w:val="32"/>
        </w:rPr>
        <w:t>.文化路、马陵山路在同一条路上，全路段更名为“文化路”；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w:t>
      </w:r>
      <w:r>
        <w:rPr>
          <w:rFonts w:hint="eastAsia" w:ascii="Times New Roman" w:hAnsi="Times New Roman" w:eastAsia="仿宋_GB2312"/>
          <w:sz w:val="32"/>
          <w:lang w:val="en-US" w:eastAsia="zh-CN"/>
        </w:rPr>
        <w:t>4</w:t>
      </w:r>
      <w:r>
        <w:rPr>
          <w:rFonts w:hint="eastAsia" w:ascii="Times New Roman" w:hAnsi="Times New Roman" w:eastAsia="仿宋_GB2312"/>
          <w:sz w:val="32"/>
        </w:rPr>
        <w:t>.天元广场南侧，东起沭河路、西至开阳路段，原命名为的白马河路，更名为“府前街”；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w:t>
      </w:r>
      <w:r>
        <w:rPr>
          <w:rFonts w:hint="eastAsia" w:ascii="Times New Roman" w:hAnsi="Times New Roman" w:eastAsia="仿宋_GB2312"/>
          <w:sz w:val="32"/>
          <w:lang w:val="en-US" w:eastAsia="zh-CN"/>
        </w:rPr>
        <w:t>5</w:t>
      </w:r>
      <w:r>
        <w:rPr>
          <w:rFonts w:hint="eastAsia" w:ascii="Times New Roman" w:hAnsi="Times New Roman" w:eastAsia="仿宋_GB2312"/>
          <w:sz w:val="32"/>
        </w:rPr>
        <w:t>.古城路、沂河路在同一条路上，全路段更名为“古城路”；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w:t>
      </w:r>
      <w:r>
        <w:rPr>
          <w:rFonts w:hint="eastAsia" w:ascii="Times New Roman" w:hAnsi="Times New Roman" w:eastAsia="仿宋_GB2312"/>
          <w:sz w:val="32"/>
          <w:lang w:val="en-US" w:eastAsia="zh-CN"/>
        </w:rPr>
        <w:t>6</w:t>
      </w:r>
      <w:r>
        <w:rPr>
          <w:rFonts w:hint="eastAsia" w:ascii="Times New Roman" w:hAnsi="Times New Roman" w:eastAsia="仿宋_GB2312"/>
          <w:sz w:val="32"/>
        </w:rPr>
        <w:t>.天元·政务服务中心西侧南北向孔望山路，向北新修建延伸穿过师郯路至坝子村，全路段更名为“府西路”；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1</w:t>
      </w:r>
      <w:r>
        <w:rPr>
          <w:rFonts w:hint="eastAsia" w:ascii="Times New Roman" w:hAnsi="Times New Roman" w:eastAsia="仿宋_GB2312"/>
          <w:sz w:val="32"/>
          <w:lang w:val="en-US" w:eastAsia="zh-CN"/>
        </w:rPr>
        <w:t>7</w:t>
      </w:r>
      <w:r>
        <w:rPr>
          <w:rFonts w:hint="eastAsia" w:ascii="Times New Roman" w:hAnsi="Times New Roman" w:eastAsia="仿宋_GB2312"/>
          <w:sz w:val="32"/>
        </w:rPr>
        <w:t>.天元·政务服务中心东侧南北向红石崖路，向北新修建延伸穿过师郯路至坝子村，全路段更名为“府东路”。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请按地名管理有关规定和程序做好相关工作。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特此批复。</w:t>
      </w:r>
    </w:p>
    <w:p>
      <w:pPr>
        <w:keepNext w:val="0"/>
        <w:keepLines w:val="0"/>
        <w:pageBreakBefore w:val="0"/>
        <w:widowControl w:val="0"/>
        <w:kinsoku/>
        <w:wordWrap w:val="0"/>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202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lang w:val="en-US" w:eastAsia="zh-CN"/>
        </w:rPr>
        <w:t>月</w:t>
      </w:r>
      <w:r>
        <w:rPr>
          <w:rFonts w:hint="eastAsia"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lang w:val="en-US" w:eastAsia="zh-CN"/>
        </w:rPr>
        <w:t>日</w:t>
      </w:r>
    </w:p>
    <w:p>
      <w:pPr>
        <w:pStyle w:val="6"/>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pStyle w:val="6"/>
        <w:rPr>
          <w:rFonts w:hint="eastAsia" w:ascii="仿宋_GB2312" w:hAnsi="仿宋_GB2312" w:eastAsia="仿宋_GB2312" w:cs="仿宋_GB2312"/>
          <w:sz w:val="32"/>
          <w:szCs w:val="32"/>
          <w:lang w:val="en-US" w:eastAsia="zh-CN"/>
        </w:rPr>
      </w:pPr>
    </w:p>
    <w:p>
      <w:pPr>
        <w:pStyle w:val="7"/>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郯政办字〔2022〕52号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lang w:eastAsia="zh-CN"/>
        </w:rPr>
        <w:t>办公室</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关于成立郯城县地名管理工作领导小组</w:t>
      </w:r>
      <w:r>
        <w:rPr>
          <w:rFonts w:hint="eastAsia" w:ascii="方正小标宋简体" w:hAnsi="方正小标宋简体" w:eastAsia="方正小标宋简体" w:cs="方正小标宋简体"/>
          <w:sz w:val="44"/>
          <w:szCs w:val="44"/>
          <w:lang w:eastAsia="zh-CN"/>
        </w:rPr>
        <w:t>的</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kern w:val="0"/>
          <w:sz w:val="32"/>
          <w:szCs w:val="32"/>
          <w:shd w:val="clear" w:fill="FFFFFF"/>
          <w:lang w:val="en-US" w:eastAsia="zh-CN" w:bidi="ar"/>
        </w:rPr>
      </w:pPr>
      <w:r>
        <w:rPr>
          <w:rFonts w:hint="eastAsia" w:ascii="仿宋_GB2312" w:hAnsi="仿宋_GB2312" w:eastAsia="仿宋_GB2312" w:cs="仿宋_GB2312"/>
          <w:sz w:val="32"/>
          <w:szCs w:val="32"/>
          <w:lang w:val="en-US" w:eastAsia="zh-CN"/>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color w:val="auto"/>
          <w:kern w:val="0"/>
          <w:sz w:val="32"/>
          <w:szCs w:val="32"/>
        </w:rPr>
        <w:t>为</w:t>
      </w:r>
      <w:r>
        <w:rPr>
          <w:rFonts w:hint="default" w:ascii="Times New Roman" w:hAnsi="Times New Roman" w:eastAsia="仿宋_GB2312" w:cs="Times New Roman"/>
          <w:color w:val="auto"/>
          <w:kern w:val="0"/>
          <w:sz w:val="32"/>
          <w:szCs w:val="32"/>
          <w:lang w:eastAsia="zh-CN"/>
        </w:rPr>
        <w:t>深入</w:t>
      </w:r>
      <w:r>
        <w:rPr>
          <w:rFonts w:hint="default" w:ascii="Times New Roman" w:hAnsi="Times New Roman" w:eastAsia="仿宋_GB2312" w:cs="Times New Roman"/>
          <w:color w:val="auto"/>
          <w:kern w:val="0"/>
          <w:sz w:val="32"/>
          <w:szCs w:val="32"/>
        </w:rPr>
        <w:t>贯彻</w:t>
      </w:r>
      <w:r>
        <w:rPr>
          <w:rFonts w:hint="default" w:ascii="Times New Roman" w:hAnsi="Times New Roman" w:eastAsia="仿宋_GB2312" w:cs="Times New Roman"/>
          <w:color w:val="auto"/>
          <w:kern w:val="0"/>
          <w:sz w:val="32"/>
          <w:szCs w:val="32"/>
          <w:lang w:eastAsia="zh-CN"/>
        </w:rPr>
        <w:t>落实《地名管理条例》和山东省民政厅《关于转发民政部办公厅关于认真学习宣传贯彻新修订的〈地名管理条例〉的通知的通知》有关要求，进一步加强全</w:t>
      </w:r>
      <w:r>
        <w:rPr>
          <w:rFonts w:hint="default" w:ascii="Times New Roman" w:hAnsi="Times New Roman" w:eastAsia="仿宋_GB2312" w:cs="Times New Roman"/>
          <w:color w:val="auto"/>
          <w:kern w:val="0"/>
          <w:sz w:val="32"/>
          <w:szCs w:val="32"/>
        </w:rPr>
        <w:t>县地名管理工作，经研究，</w:t>
      </w:r>
      <w:r>
        <w:rPr>
          <w:rFonts w:hint="default" w:ascii="Times New Roman" w:hAnsi="Times New Roman" w:eastAsia="仿宋_GB2312" w:cs="Times New Roman"/>
          <w:color w:val="auto"/>
          <w:kern w:val="0"/>
          <w:sz w:val="32"/>
          <w:szCs w:val="32"/>
          <w:lang w:eastAsia="zh-CN"/>
        </w:rPr>
        <w:t>确</w:t>
      </w:r>
      <w:r>
        <w:rPr>
          <w:rFonts w:hint="default" w:ascii="Times New Roman" w:hAnsi="Times New Roman" w:eastAsia="仿宋_GB2312" w:cs="Times New Roman"/>
          <w:color w:val="auto"/>
          <w:kern w:val="0"/>
          <w:sz w:val="32"/>
          <w:szCs w:val="32"/>
        </w:rPr>
        <w:t>定</w:t>
      </w:r>
      <w:r>
        <w:rPr>
          <w:rFonts w:hint="default" w:ascii="Times New Roman" w:hAnsi="Times New Roman" w:eastAsia="仿宋_GB2312" w:cs="Times New Roman"/>
          <w:color w:val="auto"/>
          <w:kern w:val="0"/>
          <w:sz w:val="32"/>
          <w:szCs w:val="32"/>
          <w:lang w:eastAsia="zh-CN"/>
        </w:rPr>
        <w:t>成立郯城县地名管理工作领导小组，负责全县地名管理工作的统筹协调、政策研究和监督检查</w:t>
      </w:r>
      <w:r>
        <w:rPr>
          <w:rFonts w:hint="default" w:ascii="Times New Roman" w:hAnsi="Times New Roman" w:eastAsia="仿宋_GB2312" w:cs="Times New Roman"/>
          <w:color w:val="auto"/>
          <w:kern w:val="0"/>
          <w:sz w:val="32"/>
          <w:szCs w:val="32"/>
        </w:rPr>
        <w:t>。现</w:t>
      </w:r>
      <w:r>
        <w:rPr>
          <w:rFonts w:hint="eastAsia" w:ascii="Times New Roman" w:hAnsi="Times New Roman" w:eastAsia="仿宋_GB2312" w:cs="Times New Roman"/>
          <w:color w:val="auto"/>
          <w:kern w:val="0"/>
          <w:sz w:val="32"/>
          <w:szCs w:val="32"/>
          <w:lang w:val="en-US" w:eastAsia="zh-CN"/>
        </w:rPr>
        <w:t>将</w:t>
      </w:r>
      <w:r>
        <w:rPr>
          <w:rFonts w:hint="default" w:ascii="Times New Roman" w:hAnsi="Times New Roman" w:eastAsia="仿宋_GB2312" w:cs="Times New Roman"/>
          <w:color w:val="auto"/>
          <w:kern w:val="0"/>
          <w:sz w:val="32"/>
          <w:szCs w:val="32"/>
          <w:lang w:eastAsia="zh-CN"/>
        </w:rPr>
        <w:t>组成人员名单公布如下：</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组  长：</w:t>
      </w:r>
      <w:r>
        <w:rPr>
          <w:rFonts w:hint="default" w:ascii="仿宋_GB2312" w:hAnsi="仿宋_GB2312" w:eastAsia="仿宋_GB2312" w:cs="仿宋_GB2312"/>
          <w:sz w:val="32"/>
          <w:szCs w:val="32"/>
          <w:lang w:val="en-US" w:eastAsia="zh-CN"/>
        </w:rPr>
        <w:t>赵  岩  县政府副县长</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黑体" w:hAnsi="黑体" w:eastAsia="黑体" w:cs="黑体"/>
          <w:sz w:val="32"/>
          <w:szCs w:val="32"/>
          <w:lang w:val="en-US" w:eastAsia="zh-CN"/>
        </w:rPr>
        <w:t>副组长：</w:t>
      </w:r>
      <w:r>
        <w:rPr>
          <w:rFonts w:hint="default" w:ascii="仿宋_GB2312" w:hAnsi="仿宋_GB2312" w:eastAsia="仿宋_GB2312" w:cs="仿宋_GB2312"/>
          <w:sz w:val="32"/>
          <w:szCs w:val="32"/>
          <w:lang w:val="en-US" w:eastAsia="zh-CN"/>
        </w:rPr>
        <w:t>徐丽艳  县大数据中心副主任</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舒永军  县民政局局长</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黑体" w:cs="Times New Roman"/>
          <w:b w:val="0"/>
          <w:bCs w:val="0"/>
          <w:color w:val="auto"/>
          <w:kern w:val="0"/>
          <w:sz w:val="32"/>
          <w:szCs w:val="32"/>
          <w:lang w:eastAsia="zh-CN"/>
        </w:rPr>
        <w:t>成</w:t>
      </w:r>
      <w:r>
        <w:rPr>
          <w:rFonts w:hint="default" w:ascii="Times New Roman" w:hAnsi="Times New Roman" w:eastAsia="黑体" w:cs="Times New Roman"/>
          <w:b w:val="0"/>
          <w:bCs w:val="0"/>
          <w:color w:val="auto"/>
          <w:kern w:val="0"/>
          <w:sz w:val="32"/>
          <w:szCs w:val="32"/>
          <w:lang w:val="en-US" w:eastAsia="zh-CN"/>
        </w:rPr>
        <w:t xml:space="preserve">  </w:t>
      </w:r>
      <w:r>
        <w:rPr>
          <w:rFonts w:hint="default" w:ascii="Times New Roman" w:hAnsi="Times New Roman" w:eastAsia="黑体" w:cs="Times New Roman"/>
          <w:b w:val="0"/>
          <w:bCs w:val="0"/>
          <w:color w:val="auto"/>
          <w:kern w:val="0"/>
          <w:sz w:val="32"/>
          <w:szCs w:val="32"/>
          <w:lang w:eastAsia="zh-CN"/>
        </w:rPr>
        <w:t>员：</w:t>
      </w:r>
      <w:r>
        <w:rPr>
          <w:rFonts w:hint="default" w:ascii="Times New Roman" w:hAnsi="Times New Roman" w:eastAsia="仿宋_GB2312" w:cs="Times New Roman"/>
          <w:color w:val="auto"/>
          <w:kern w:val="0"/>
          <w:sz w:val="32"/>
          <w:szCs w:val="32"/>
        </w:rPr>
        <w:t>展鹏飞</w:t>
      </w:r>
      <w:r>
        <w:rPr>
          <w:rFonts w:hint="default" w:ascii="Times New Roman" w:hAnsi="Times New Roman" w:eastAsia="仿宋_GB2312" w:cs="Times New Roman"/>
          <w:color w:val="auto"/>
          <w:kern w:val="0"/>
          <w:sz w:val="32"/>
          <w:szCs w:val="32"/>
          <w:lang w:val="en-US" w:eastAsia="zh-CN"/>
        </w:rPr>
        <w:t xml:space="preserve">  县</w:t>
      </w:r>
      <w:r>
        <w:rPr>
          <w:rFonts w:hint="default" w:ascii="Times New Roman" w:hAnsi="Times New Roman" w:eastAsia="仿宋_GB2312" w:cs="Times New Roman"/>
          <w:color w:val="auto"/>
          <w:kern w:val="0"/>
          <w:sz w:val="32"/>
          <w:szCs w:val="32"/>
        </w:rPr>
        <w:t>发改局二级主任科员</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肖增平  县教体局党组成员、副局长</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窦  军  县工信局党组成员、中小企业发展服务</w:t>
      </w:r>
    </w:p>
    <w:p>
      <w:pPr>
        <w:keepNext w:val="0"/>
        <w:keepLines w:val="0"/>
        <w:pageBreakBefore w:val="0"/>
        <w:widowControl w:val="0"/>
        <w:kinsoku/>
        <w:wordWrap w:val="0"/>
        <w:overflowPunct/>
        <w:topLinePunct w:val="0"/>
        <w:autoSpaceDE/>
        <w:autoSpaceDN/>
        <w:bidi w:val="0"/>
        <w:adjustRightInd/>
        <w:snapToGrid/>
        <w:spacing w:line="600" w:lineRule="exact"/>
        <w:ind w:firstLine="3200" w:firstLineChars="10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中心主任</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田兆友  县公安局党委副书记、副局长</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赵太园  县民政局党组成员、副局长</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spacing w:val="-11"/>
          <w:kern w:val="0"/>
          <w:sz w:val="32"/>
          <w:szCs w:val="32"/>
          <w:lang w:val="en-US" w:eastAsia="zh-CN"/>
        </w:rPr>
      </w:pPr>
      <w:r>
        <w:rPr>
          <w:rFonts w:hint="default" w:ascii="Times New Roman" w:hAnsi="Times New Roman" w:eastAsia="仿宋_GB2312" w:cs="Times New Roman"/>
          <w:color w:val="auto"/>
          <w:kern w:val="0"/>
          <w:sz w:val="32"/>
          <w:szCs w:val="32"/>
          <w:lang w:val="en-US" w:eastAsia="zh-CN"/>
        </w:rPr>
        <w:t xml:space="preserve">孙和平  </w:t>
      </w:r>
      <w:r>
        <w:rPr>
          <w:rFonts w:hint="default" w:ascii="Times New Roman" w:hAnsi="Times New Roman" w:eastAsia="仿宋_GB2312" w:cs="Times New Roman"/>
          <w:color w:val="auto"/>
          <w:spacing w:val="-11"/>
          <w:kern w:val="0"/>
          <w:sz w:val="32"/>
          <w:szCs w:val="32"/>
          <w:lang w:val="en-US" w:eastAsia="zh-CN"/>
        </w:rPr>
        <w:t>县自然资源和规划局增减挂钩办公室主任</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谭常兴  县住建局党组成员、县人民防空保障</w:t>
      </w:r>
    </w:p>
    <w:p>
      <w:pPr>
        <w:keepNext w:val="0"/>
        <w:keepLines w:val="0"/>
        <w:pageBreakBefore w:val="0"/>
        <w:widowControl w:val="0"/>
        <w:kinsoku/>
        <w:wordWrap w:val="0"/>
        <w:overflowPunct/>
        <w:topLinePunct w:val="0"/>
        <w:autoSpaceDE/>
        <w:autoSpaceDN/>
        <w:bidi w:val="0"/>
        <w:adjustRightInd/>
        <w:snapToGrid/>
        <w:spacing w:line="600" w:lineRule="exact"/>
        <w:ind w:firstLine="3200" w:firstLineChars="10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服务中心主任</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侯  哲  县综合行政执法局党组成员、副局长</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郑文波  县交通运输局党组成员</w:t>
      </w:r>
      <w:r>
        <w:rPr>
          <w:rFonts w:hint="eastAsia" w:ascii="Times New Roman" w:hAnsi="Times New Roman" w:eastAsia="仿宋_GB2312" w:cs="Times New Roman"/>
          <w:color w:val="auto"/>
          <w:kern w:val="0"/>
          <w:sz w:val="32"/>
          <w:szCs w:val="32"/>
          <w:lang w:val="en-US" w:eastAsia="zh-CN"/>
        </w:rPr>
        <w:t>、</w:t>
      </w:r>
      <w:r>
        <w:rPr>
          <w:rFonts w:hint="default" w:ascii="Times New Roman" w:hAnsi="Times New Roman" w:eastAsia="仿宋_GB2312" w:cs="Times New Roman"/>
          <w:color w:val="auto"/>
          <w:kern w:val="0"/>
          <w:sz w:val="32"/>
          <w:szCs w:val="32"/>
          <w:lang w:val="en-US" w:eastAsia="zh-CN"/>
        </w:rPr>
        <w:t>副局长</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赵凤玉  县水利局办公室主任、县水利工程保障</w:t>
      </w:r>
    </w:p>
    <w:p>
      <w:pPr>
        <w:keepNext w:val="0"/>
        <w:keepLines w:val="0"/>
        <w:pageBreakBefore w:val="0"/>
        <w:widowControl w:val="0"/>
        <w:kinsoku/>
        <w:wordWrap w:val="0"/>
        <w:overflowPunct/>
        <w:topLinePunct w:val="0"/>
        <w:autoSpaceDE/>
        <w:autoSpaceDN/>
        <w:bidi w:val="0"/>
        <w:adjustRightInd/>
        <w:snapToGrid/>
        <w:spacing w:line="600" w:lineRule="exact"/>
        <w:ind w:firstLine="3200" w:firstLineChars="10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中心副主任</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倪维龙  县农业农村局党组成员</w:t>
      </w:r>
      <w:r>
        <w:rPr>
          <w:rFonts w:hint="eastAsia" w:ascii="Times New Roman" w:hAnsi="Times New Roman" w:eastAsia="仿宋_GB2312" w:cs="Times New Roman"/>
          <w:color w:val="auto"/>
          <w:kern w:val="0"/>
          <w:sz w:val="32"/>
          <w:szCs w:val="32"/>
          <w:lang w:val="en-US" w:eastAsia="zh-CN"/>
        </w:rPr>
        <w:t>、</w:t>
      </w:r>
      <w:r>
        <w:rPr>
          <w:rFonts w:hint="default" w:ascii="Times New Roman" w:hAnsi="Times New Roman" w:eastAsia="仿宋_GB2312" w:cs="Times New Roman"/>
          <w:color w:val="auto"/>
          <w:kern w:val="0"/>
          <w:sz w:val="32"/>
          <w:szCs w:val="32"/>
          <w:lang w:val="en-US" w:eastAsia="zh-CN"/>
        </w:rPr>
        <w:t>副局长</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朱志鹏  县文化和旅游发展促进中心副主任</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王  彬  县行政审批服务局党组成员、副局长</w:t>
      </w:r>
    </w:p>
    <w:p>
      <w:pPr>
        <w:keepNext w:val="0"/>
        <w:keepLines w:val="0"/>
        <w:pageBreakBefore w:val="0"/>
        <w:widowControl w:val="0"/>
        <w:kinsoku/>
        <w:wordWrap w:val="0"/>
        <w:overflowPunct/>
        <w:topLinePunct w:val="0"/>
        <w:autoSpaceDE/>
        <w:autoSpaceDN/>
        <w:bidi w:val="0"/>
        <w:adjustRightInd/>
        <w:snapToGrid/>
        <w:spacing w:line="600" w:lineRule="exact"/>
        <w:ind w:firstLine="1920" w:firstLineChars="600"/>
        <w:jc w:val="both"/>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高  磊  县市场监管局三级主办</w:t>
      </w:r>
    </w:p>
    <w:p>
      <w:pPr>
        <w:keepNext w:val="0"/>
        <w:keepLines w:val="0"/>
        <w:pageBreakBefore w:val="0"/>
        <w:widowControl w:val="0"/>
        <w:tabs>
          <w:tab w:val="left" w:pos="446"/>
        </w:tabs>
        <w:kinsoku/>
        <w:wordWrap/>
        <w:overflowPunct/>
        <w:topLinePunct w:val="0"/>
        <w:autoSpaceDE/>
        <w:autoSpaceDN/>
        <w:bidi w:val="0"/>
        <w:adjustRightInd/>
        <w:snapToGrid/>
        <w:spacing w:line="600" w:lineRule="exact"/>
        <w:ind w:firstLine="596" w:firstLineChars="200"/>
        <w:jc w:val="left"/>
        <w:textAlignment w:val="auto"/>
        <w:rPr>
          <w:rFonts w:hint="eastAsia" w:ascii="仿宋_GB2312" w:hAnsi="仿宋_GB2312" w:eastAsia="仿宋_GB2312" w:cs="仿宋_GB2312"/>
          <w:spacing w:val="-11"/>
          <w:sz w:val="32"/>
          <w:szCs w:val="32"/>
          <w:lang w:val="en-US" w:eastAsia="zh-CN"/>
        </w:rPr>
      </w:pPr>
      <w:r>
        <w:rPr>
          <w:rFonts w:hint="default" w:ascii="Times New Roman" w:hAnsi="Times New Roman" w:eastAsia="仿宋_GB2312" w:cs="Times New Roman"/>
          <w:color w:val="auto"/>
          <w:spacing w:val="-11"/>
          <w:kern w:val="0"/>
          <w:sz w:val="32"/>
          <w:szCs w:val="32"/>
          <w:lang w:eastAsia="zh-CN"/>
        </w:rPr>
        <w:t>领导小组</w:t>
      </w:r>
      <w:r>
        <w:rPr>
          <w:rFonts w:hint="default" w:ascii="Times New Roman" w:hAnsi="Times New Roman" w:eastAsia="仿宋_GB2312" w:cs="Times New Roman"/>
          <w:color w:val="auto"/>
          <w:spacing w:val="-11"/>
          <w:kern w:val="0"/>
          <w:sz w:val="32"/>
          <w:szCs w:val="32"/>
        </w:rPr>
        <w:t>办公室设在县民政局，赵太园同志兼</w:t>
      </w:r>
      <w:r>
        <w:rPr>
          <w:rFonts w:hint="eastAsia" w:ascii="Times New Roman" w:hAnsi="Times New Roman" w:eastAsia="仿宋_GB2312" w:cs="Times New Roman"/>
          <w:color w:val="auto"/>
          <w:spacing w:val="-11"/>
          <w:kern w:val="0"/>
          <w:sz w:val="32"/>
          <w:szCs w:val="32"/>
          <w:lang w:eastAsia="zh-CN"/>
        </w:rPr>
        <w:t>任</w:t>
      </w:r>
      <w:r>
        <w:rPr>
          <w:rFonts w:hint="default" w:ascii="Times New Roman" w:hAnsi="Times New Roman" w:eastAsia="仿宋_GB2312" w:cs="Times New Roman"/>
          <w:color w:val="auto"/>
          <w:spacing w:val="-11"/>
          <w:kern w:val="0"/>
          <w:sz w:val="32"/>
          <w:szCs w:val="32"/>
        </w:rPr>
        <w:t>办公室主任</w:t>
      </w:r>
      <w:r>
        <w:rPr>
          <w:rFonts w:hint="default" w:ascii="Times New Roman" w:hAnsi="Times New Roman" w:eastAsia="仿宋_GB2312" w:cs="Times New Roman"/>
          <w:color w:val="auto"/>
          <w:spacing w:val="-11"/>
          <w:kern w:val="0"/>
          <w:sz w:val="32"/>
          <w:szCs w:val="32"/>
          <w:lang w:eastAsia="zh-CN"/>
        </w:rPr>
        <w:t>。</w:t>
      </w:r>
    </w:p>
    <w:p>
      <w:pPr>
        <w:keepNext w:val="0"/>
        <w:keepLines w:val="0"/>
        <w:pageBreakBefore w:val="0"/>
        <w:widowControl w:val="0"/>
        <w:tabs>
          <w:tab w:val="left" w:pos="446"/>
        </w:tabs>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仿宋_GB2312" w:hAnsi="仿宋_GB2312" w:eastAsia="仿宋_GB2312" w:cs="仿宋_GB2312"/>
          <w:sz w:val="32"/>
          <w:szCs w:val="32"/>
          <w:lang w:val="en-US" w:eastAsia="zh-CN"/>
        </w:rPr>
      </w:pPr>
    </w:p>
    <w:p>
      <w:pPr>
        <w:pStyle w:val="6"/>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年</w:t>
      </w:r>
      <w:r>
        <w:rPr>
          <w:rFonts w:hint="eastAsia" w:ascii="Times New Roman" w:hAnsi="Times New Roman" w:eastAsia="仿宋_GB2312" w:cs="Times New Roman"/>
          <w:sz w:val="32"/>
          <w:szCs w:val="32"/>
          <w:lang w:val="en-US" w:eastAsia="zh-CN"/>
        </w:rPr>
        <w:t>11</w:t>
      </w:r>
      <w:r>
        <w:rPr>
          <w:rFonts w:hint="eastAsia" w:ascii="仿宋_GB2312" w:hAnsi="仿宋_GB2312" w:eastAsia="仿宋_GB2312" w:cs="仿宋_GB2312"/>
          <w:sz w:val="32"/>
          <w:szCs w:val="32"/>
          <w:lang w:val="en-US" w:eastAsia="zh-CN"/>
        </w:rPr>
        <w:t>月</w:t>
      </w:r>
      <w:r>
        <w:rPr>
          <w:rFonts w:hint="eastAsia" w:ascii="Times New Roman" w:hAnsi="Times New Roman" w:eastAsia="仿宋_GB2312" w:cs="Times New Roman"/>
          <w:sz w:val="32"/>
          <w:szCs w:val="32"/>
          <w:lang w:val="en-US" w:eastAsia="zh-CN"/>
        </w:rPr>
        <w:t>30</w:t>
      </w:r>
      <w:r>
        <w:rPr>
          <w:rFonts w:hint="eastAsia" w:ascii="仿宋_GB2312" w:hAnsi="仿宋_GB2312" w:eastAsia="仿宋_GB2312" w:cs="仿宋_GB2312"/>
          <w:sz w:val="32"/>
          <w:szCs w:val="32"/>
          <w:lang w:val="en-US" w:eastAsia="zh-CN"/>
        </w:rPr>
        <w:t>日</w:t>
      </w:r>
    </w:p>
    <w:p>
      <w:pPr>
        <w:bidi w:val="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（此件公开发布）</w:t>
      </w:r>
    </w:p>
    <w:p>
      <w:pPr>
        <w:bidi w:val="0"/>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郯政办字〔2022〕54号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lang w:val="en-US" w:eastAsia="zh-CN"/>
        </w:rPr>
        <w:t>郯城县人民政府办公室</w:t>
      </w:r>
    </w:p>
    <w:p>
      <w:pPr>
        <w:keepNext w:val="0"/>
        <w:keepLines w:val="0"/>
        <w:pageBreakBefore w:val="0"/>
        <w:kinsoku/>
        <w:overflowPunct/>
        <w:topLinePunct w:val="0"/>
        <w:bidi w:val="0"/>
        <w:spacing w:line="600" w:lineRule="exact"/>
        <w:jc w:val="center"/>
        <w:textAlignment w:val="auto"/>
        <w:rPr>
          <w:rFonts w:hint="eastAsia" w:ascii="仿宋_GB2312" w:hAnsi="仿宋_GB2312" w:eastAsia="仿宋_GB2312" w:cs="仿宋_GB2312"/>
          <w:sz w:val="32"/>
          <w:szCs w:val="32"/>
          <w:shd w:val="clear" w:color="auto" w:fill="FFFFFF"/>
        </w:rPr>
      </w:pPr>
      <w:r>
        <w:rPr>
          <w:rFonts w:hint="eastAsia" w:ascii="方正小标宋简体" w:hAnsi="方正小标宋简体" w:eastAsia="方正小标宋简体" w:cs="方正小标宋简体"/>
          <w:sz w:val="44"/>
          <w:szCs w:val="44"/>
          <w:shd w:val="clear" w:color="auto" w:fill="FFFFFF"/>
          <w:lang w:val="en-US" w:eastAsia="zh-CN"/>
        </w:rPr>
        <w:t>关于印发《</w:t>
      </w:r>
      <w:r>
        <w:rPr>
          <w:rFonts w:hint="eastAsia" w:eastAsia="方正小标宋简体" w:cs="方正小标宋简体"/>
          <w:bCs/>
          <w:sz w:val="44"/>
          <w:szCs w:val="44"/>
        </w:rPr>
        <w:t>郯城县</w:t>
      </w:r>
      <w:r>
        <w:rPr>
          <w:rFonts w:hint="eastAsia" w:eastAsia="方正小标宋简体" w:cs="方正小标宋简体"/>
          <w:bCs/>
          <w:sz w:val="44"/>
          <w:szCs w:val="44"/>
          <w:lang w:val="en-US" w:eastAsia="zh-CN"/>
        </w:rPr>
        <w:t>声环境功能区划分方案</w:t>
      </w:r>
      <w:r>
        <w:rPr>
          <w:rFonts w:hint="eastAsia" w:ascii="方正小标宋简体" w:hAnsi="方正小标宋简体" w:eastAsia="方正小标宋简体" w:cs="方正小标宋简体"/>
          <w:sz w:val="44"/>
          <w:szCs w:val="44"/>
          <w:shd w:val="clear" w:color="auto" w:fill="FFFFFF"/>
          <w:lang w:val="en-US" w:eastAsia="zh-CN"/>
        </w:rPr>
        <w:t>》的通知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现将《郯城县声环境功能区划分方案》印发给你们，请认真抓好贯彻落实。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6080" w:firstLineChars="1900"/>
        <w:textAlignment w:val="auto"/>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2022年12月29日</w:t>
      </w:r>
    </w:p>
    <w:p>
      <w:pPr>
        <w:pStyle w:val="5"/>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 xml:space="preserve">（此件公开发布） </w:t>
      </w:r>
    </w:p>
    <w:p>
      <w:pPr>
        <w:rPr>
          <w:rFonts w:hint="eastAsia" w:eastAsia="仿宋_GB2312"/>
          <w:sz w:val="32"/>
          <w:szCs w:val="32"/>
        </w:rPr>
      </w:pPr>
      <w:r>
        <w:rPr>
          <w:rFonts w:hint="eastAsia" w:eastAsia="仿宋_GB2312"/>
          <w:sz w:val="32"/>
          <w:szCs w:val="32"/>
        </w:rPr>
        <w:br w:type="page"/>
      </w:r>
    </w:p>
    <w:p>
      <w:pPr>
        <w:keepNext w:val="0"/>
        <w:keepLines w:val="0"/>
        <w:pageBreakBefore w:val="0"/>
        <w:widowControl w:val="0"/>
        <w:kinsoku/>
        <w:wordWrap/>
        <w:overflowPunct/>
        <w:topLinePunct w:val="0"/>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郯城县声环境功能区划分方案</w:t>
      </w:r>
    </w:p>
    <w:p>
      <w:pPr>
        <w:pStyle w:val="5"/>
        <w:keepNext w:val="0"/>
        <w:keepLines w:val="0"/>
        <w:pageBreakBefore w:val="0"/>
        <w:widowControl w:val="0"/>
        <w:kinsoku/>
        <w:wordWrap/>
        <w:topLinePunct w:val="0"/>
        <w:bidi w:val="0"/>
        <w:adjustRightInd/>
        <w:snapToGrid/>
        <w:spacing w:line="6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为贯彻执行《中华人民共和国环境保护法》《中华人民共和国环境噪声污染防治法》，落实《声环境质量标准》（</w:t>
      </w:r>
      <w:r>
        <w:rPr>
          <w:rFonts w:hint="default" w:ascii="Times New Roman" w:hAnsi="Times New Roman" w:eastAsia="仿宋_GB2312" w:cs="Times New Roman"/>
          <w:kern w:val="2"/>
          <w:sz w:val="32"/>
          <w:szCs w:val="32"/>
          <w:lang w:eastAsia="zh-CN"/>
        </w:rPr>
        <w:t>GB3096-2008</w:t>
      </w:r>
      <w:r>
        <w:rPr>
          <w:rFonts w:hint="eastAsia" w:ascii="仿宋_GB2312" w:hAnsi="仿宋_GB2312" w:eastAsia="仿宋_GB2312" w:cs="仿宋_GB2312"/>
          <w:kern w:val="2"/>
          <w:sz w:val="32"/>
          <w:szCs w:val="32"/>
          <w:lang w:eastAsia="zh-CN"/>
        </w:rPr>
        <w:t>），改善和提高城市环境质量，维护居民生活、学习和工作场所的安静，按照《声环境功能区划分技术规范》（</w:t>
      </w:r>
      <w:r>
        <w:rPr>
          <w:rFonts w:hint="eastAsia" w:ascii="Times New Roman" w:hAnsi="Times New Roman" w:eastAsia="仿宋_GB2312" w:cs="Times New Roman"/>
          <w:kern w:val="2"/>
          <w:sz w:val="32"/>
          <w:szCs w:val="32"/>
          <w:lang w:eastAsia="zh-CN"/>
        </w:rPr>
        <w:t>GB/T15190-2014</w:t>
      </w:r>
      <w:r>
        <w:rPr>
          <w:rFonts w:hint="eastAsia" w:ascii="仿宋_GB2312" w:hAnsi="仿宋_GB2312" w:eastAsia="仿宋_GB2312" w:cs="仿宋_GB2312"/>
          <w:kern w:val="2"/>
          <w:sz w:val="32"/>
          <w:szCs w:val="32"/>
          <w:lang w:eastAsia="zh-CN"/>
        </w:rPr>
        <w:t>）和生态环境部、生态环境厅有关要求，结合我县实际，对县城</w:t>
      </w:r>
      <w:r>
        <w:rPr>
          <w:rFonts w:hint="eastAsia" w:ascii="仿宋_GB2312" w:hAnsi="仿宋_GB2312" w:eastAsia="仿宋_GB2312" w:cs="仿宋_GB2312"/>
          <w:color w:val="000000" w:themeColor="text1"/>
          <w:kern w:val="2"/>
          <w:sz w:val="32"/>
          <w:szCs w:val="32"/>
          <w:lang w:eastAsia="zh-CN"/>
          <w14:textFill>
            <w14:solidFill>
              <w14:schemeClr w14:val="tx1"/>
            </w14:solidFill>
          </w14:textFill>
        </w:rPr>
        <w:t>规划建设区</w:t>
      </w:r>
      <w:r>
        <w:rPr>
          <w:rFonts w:hint="eastAsia" w:ascii="仿宋_GB2312" w:hAnsi="仿宋_GB2312" w:eastAsia="仿宋_GB2312" w:cs="仿宋_GB2312"/>
          <w:kern w:val="2"/>
          <w:sz w:val="32"/>
          <w:szCs w:val="32"/>
          <w:lang w:eastAsia="zh-CN"/>
        </w:rPr>
        <w:t>声环境功能进行划分，制定本方案。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2"/>
          <w:sz w:val="32"/>
          <w:szCs w:val="32"/>
          <w:lang w:eastAsia="zh-CN"/>
        </w:rPr>
      </w:pPr>
      <w:bookmarkStart w:id="345" w:name="_Toc30472"/>
      <w:r>
        <w:rPr>
          <w:rFonts w:hint="eastAsia" w:ascii="黑体" w:hAnsi="黑体" w:eastAsia="黑体" w:cs="黑体"/>
          <w:kern w:val="2"/>
          <w:sz w:val="32"/>
          <w:szCs w:val="32"/>
          <w:lang w:eastAsia="zh-CN"/>
        </w:rPr>
        <w:t>一、指导思想</w:t>
      </w:r>
      <w:bookmarkEnd w:id="34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以习近平新时代中国特色社会主义思想为指导，贯彻落实习近平生态文明思想和全国生态环境保护大会会议精神，加强城乡噪声</w:t>
      </w:r>
      <w:r>
        <w:rPr>
          <w:rFonts w:hint="eastAsia" w:ascii="仿宋_GB2312" w:hAnsi="仿宋_GB2312" w:eastAsia="仿宋_GB2312" w:cs="仿宋_GB2312"/>
          <w:sz w:val="32"/>
          <w:szCs w:val="32"/>
          <w:lang w:eastAsia="zh-CN"/>
        </w:rPr>
        <w:t>污染防治工作，改善声环境质量，保障人民享有良好的声环境，以城市总体规划为指导，遵循城乡建设和发展的客观规律，因地制宜、统筹兼顾，综合部署，按照规划用地性质、用地现状、声环境质量现状，科学划定我县声环境功能区类别。声环境功能区划覆盖整</w:t>
      </w:r>
      <w:r>
        <w:rPr>
          <w:rFonts w:hint="eastAsia" w:ascii="仿宋_GB2312" w:hAnsi="仿宋_GB2312" w:eastAsia="仿宋_GB2312" w:cs="仿宋_GB2312"/>
          <w:kern w:val="2"/>
          <w:sz w:val="32"/>
          <w:szCs w:val="32"/>
          <w:lang w:eastAsia="zh-CN"/>
        </w:rPr>
        <w:t>个县城建成区范围，并根据城市总体规划和用地性质变化而同步调整。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2"/>
          <w:sz w:val="32"/>
          <w:szCs w:val="32"/>
          <w:lang w:eastAsia="zh-CN"/>
        </w:rPr>
      </w:pPr>
      <w:bookmarkStart w:id="346" w:name="_Toc30416"/>
      <w:r>
        <w:rPr>
          <w:rFonts w:hint="eastAsia" w:ascii="黑体" w:hAnsi="黑体" w:eastAsia="黑体" w:cs="黑体"/>
          <w:kern w:val="2"/>
          <w:sz w:val="32"/>
          <w:szCs w:val="32"/>
          <w:lang w:eastAsia="zh-CN"/>
        </w:rPr>
        <w:t>二、</w:t>
      </w:r>
      <w:r>
        <w:rPr>
          <w:rFonts w:hint="eastAsia" w:ascii="黑体" w:hAnsi="黑体" w:eastAsia="黑体" w:cs="黑体"/>
          <w:kern w:val="2"/>
          <w:sz w:val="32"/>
          <w:szCs w:val="32"/>
          <w:lang w:val="en-US" w:eastAsia="zh-CN"/>
        </w:rPr>
        <w:t>适用</w:t>
      </w:r>
      <w:r>
        <w:rPr>
          <w:rFonts w:hint="eastAsia" w:ascii="黑体" w:hAnsi="黑体" w:eastAsia="黑体" w:cs="黑体"/>
          <w:kern w:val="2"/>
          <w:sz w:val="32"/>
          <w:szCs w:val="32"/>
          <w:lang w:eastAsia="zh-CN"/>
        </w:rPr>
        <w:t>范围</w:t>
      </w:r>
      <w:bookmarkEnd w:id="34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本次区划适用于郯城县现状建成区以及城市远期建设发展需要实行管理控制的区域，北至泰山路，南至南外环路，东至沭河，西至</w:t>
      </w:r>
      <w:r>
        <w:rPr>
          <w:rFonts w:hint="eastAsia" w:ascii="仿宋_GB2312" w:hAnsi="仿宋_GB2312" w:eastAsia="仿宋_GB2312" w:cs="仿宋_GB2312"/>
          <w:sz w:val="32"/>
          <w:szCs w:val="32"/>
          <w:lang w:eastAsia="zh-CN"/>
        </w:rPr>
        <w:t>围带河—白马河，总面积约</w:t>
      </w:r>
      <w:r>
        <w:rPr>
          <w:rFonts w:hint="eastAsia" w:ascii="Times New Roman" w:hAnsi="Times New Roman" w:eastAsia="仿宋_GB2312" w:cs="Times New Roman"/>
          <w:kern w:val="2"/>
          <w:sz w:val="32"/>
          <w:szCs w:val="32"/>
          <w:lang w:eastAsia="zh-CN"/>
        </w:rPr>
        <w:t>59</w:t>
      </w:r>
      <w:r>
        <w:rPr>
          <w:rFonts w:hint="eastAsia" w:ascii="Times New Roman" w:hAnsi="Times New Roman" w:eastAsia="仿宋_GB2312" w:cs="Times New Roman"/>
          <w:kern w:val="2"/>
          <w:sz w:val="32"/>
          <w:szCs w:val="32"/>
          <w:lang w:val="en-US" w:eastAsia="zh-CN"/>
        </w:rPr>
        <w:t>平方公里</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kern w:val="2"/>
          <w:sz w:val="32"/>
          <w:szCs w:val="32"/>
          <w:lang w:eastAsia="zh-CN"/>
        </w:rPr>
        <w:t>城市建设用地面积为</w:t>
      </w:r>
      <w:r>
        <w:rPr>
          <w:rFonts w:hint="eastAsia" w:ascii="Times New Roman" w:hAnsi="Times New Roman" w:eastAsia="仿宋_GB2312" w:cs="Times New Roman"/>
          <w:kern w:val="2"/>
          <w:sz w:val="32"/>
          <w:szCs w:val="32"/>
          <w:lang w:eastAsia="zh-CN"/>
        </w:rPr>
        <w:t>39.94</w:t>
      </w:r>
      <w:r>
        <w:rPr>
          <w:rFonts w:hint="eastAsia" w:ascii="Times New Roman" w:hAnsi="Times New Roman" w:eastAsia="仿宋_GB2312" w:cs="Times New Roman"/>
          <w:kern w:val="2"/>
          <w:sz w:val="32"/>
          <w:szCs w:val="32"/>
          <w:lang w:val="en-US" w:eastAsia="zh-CN"/>
        </w:rPr>
        <w:t>平方公里</w:t>
      </w:r>
      <w:r>
        <w:rPr>
          <w:rFonts w:hint="eastAsia" w:ascii="仿宋_GB2312" w:hAnsi="仿宋_GB2312" w:eastAsia="仿宋_GB2312" w:cs="仿宋_GB2312"/>
          <w:kern w:val="2"/>
          <w:sz w:val="32"/>
          <w:szCs w:val="32"/>
          <w:lang w:eastAsia="zh-CN"/>
        </w:rPr>
        <w:t>。</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2"/>
          <w:sz w:val="32"/>
          <w:szCs w:val="32"/>
          <w:lang w:eastAsia="zh-CN"/>
        </w:rPr>
      </w:pPr>
      <w:bookmarkStart w:id="347" w:name="_Toc13374"/>
      <w:r>
        <w:rPr>
          <w:rFonts w:hint="eastAsia" w:ascii="黑体" w:hAnsi="黑体" w:eastAsia="黑体" w:cs="黑体"/>
          <w:kern w:val="2"/>
          <w:sz w:val="32"/>
          <w:szCs w:val="32"/>
          <w:lang w:eastAsia="zh-CN"/>
        </w:rPr>
        <w:t>三、基本原则</w:t>
      </w:r>
      <w:bookmarkEnd w:id="347"/>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本区划以有效地控制噪声污染的程度与范围，有利于提高声环境质量为宗旨。本区划遵循以下基本原则：</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eastAsia="zh-CN"/>
        </w:rPr>
        <w:t>（</w:t>
      </w: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）区划应以城市规划为指导，按区域规划用地的主导功能、用地</w:t>
      </w:r>
      <w:r>
        <w:rPr>
          <w:rFonts w:hint="eastAsia" w:ascii="仿宋_GB2312" w:hAnsi="仿宋_GB2312" w:eastAsia="仿宋_GB2312" w:cs="仿宋_GB2312"/>
          <w:sz w:val="32"/>
          <w:szCs w:val="32"/>
          <w:lang w:eastAsia="zh-CN"/>
        </w:rPr>
        <w:t>现状确定。应覆盖整个城市规划区面积。</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sz w:val="32"/>
          <w:szCs w:val="32"/>
          <w:lang w:eastAsia="zh-CN"/>
        </w:rPr>
        <w:t>）区划应便于城市环境噪声管理和促进噪声治理。</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sz w:val="32"/>
          <w:szCs w:val="32"/>
          <w:lang w:eastAsia="zh-CN"/>
        </w:rPr>
        <w:t>）单块的声环境功能区面积，原则上不小</w:t>
      </w:r>
      <w:r>
        <w:rPr>
          <w:rFonts w:hint="eastAsia" w:ascii="Times New Roman" w:hAnsi="Times New Roman" w:eastAsia="仿宋_GB2312" w:cs="Times New Roman"/>
          <w:kern w:val="2"/>
          <w:sz w:val="32"/>
          <w:szCs w:val="32"/>
          <w:lang w:eastAsia="zh-CN"/>
        </w:rPr>
        <w:t>于</w:t>
      </w:r>
      <w:r>
        <w:rPr>
          <w:rFonts w:hint="default" w:ascii="Times New Roman" w:hAnsi="Times New Roman" w:eastAsia="仿宋_GB2312" w:cs="Times New Roman"/>
          <w:kern w:val="2"/>
          <w:sz w:val="32"/>
          <w:szCs w:val="32"/>
          <w:lang w:eastAsia="zh-CN"/>
        </w:rPr>
        <w:t>0.5k</w:t>
      </w:r>
      <w:r>
        <w:rPr>
          <w:rFonts w:hint="default" w:ascii="Times New Roman" w:hAnsi="Times New Roman" w:eastAsia="仿宋_GB2312" w:cs="Times New Roman"/>
          <w:sz w:val="32"/>
          <w:szCs w:val="32"/>
          <w:lang w:eastAsia="zh-CN"/>
        </w:rPr>
        <w:t>m</w:t>
      </w:r>
      <w:r>
        <w:rPr>
          <w:rFonts w:hint="default" w:ascii="Times New Roman" w:hAnsi="Times New Roman" w:eastAsia="仿宋_GB2312" w:cs="Times New Roman"/>
          <w:sz w:val="32"/>
          <w:szCs w:val="32"/>
          <w:vertAlign w:val="superscript"/>
          <w:lang w:eastAsia="zh-CN"/>
        </w:rPr>
        <w:t>2</w:t>
      </w:r>
      <w:r>
        <w:rPr>
          <w:rFonts w:hint="eastAsia" w:ascii="仿宋_GB2312" w:hAnsi="仿宋_GB2312" w:eastAsia="仿宋_GB2312" w:cs="仿宋_GB2312"/>
          <w:sz w:val="32"/>
          <w:szCs w:val="32"/>
          <w:lang w:eastAsia="zh-CN"/>
        </w:rPr>
        <w:t>。山区等地形特殊的城市，可根据城市的地形特征确定适宜的区域面积。</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sz w:val="32"/>
          <w:szCs w:val="32"/>
          <w:lang w:eastAsia="zh-CN"/>
        </w:rPr>
        <w:t>）调整声环境功能区类别需进行充分的说明。严格控制</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sz w:val="32"/>
          <w:szCs w:val="32"/>
          <w:lang w:eastAsia="zh-CN"/>
        </w:rPr>
        <w:t>类声环境功能区范围。</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5</w:t>
      </w:r>
      <w:r>
        <w:rPr>
          <w:rFonts w:hint="eastAsia" w:ascii="仿宋_GB2312" w:hAnsi="仿宋_GB2312" w:eastAsia="仿宋_GB2312" w:cs="仿宋_GB2312"/>
          <w:sz w:val="32"/>
          <w:szCs w:val="32"/>
          <w:lang w:eastAsia="zh-CN"/>
        </w:rPr>
        <w:t>）根据城市规模和用地变化情况，声环境功能区划可适时调整，原则上不超过</w:t>
      </w:r>
      <w:r>
        <w:rPr>
          <w:rFonts w:hint="eastAsia" w:ascii="Times New Roman" w:hAnsi="Times New Roman" w:eastAsia="仿宋_GB2312" w:cs="Times New Roman"/>
          <w:kern w:val="2"/>
          <w:sz w:val="32"/>
          <w:szCs w:val="32"/>
          <w:lang w:eastAsia="zh-CN"/>
        </w:rPr>
        <w:t>5</w:t>
      </w:r>
      <w:r>
        <w:rPr>
          <w:rFonts w:hint="eastAsia" w:ascii="仿宋_GB2312" w:hAnsi="仿宋_GB2312" w:eastAsia="仿宋_GB2312" w:cs="仿宋_GB2312"/>
          <w:sz w:val="32"/>
          <w:szCs w:val="32"/>
          <w:lang w:eastAsia="zh-CN"/>
        </w:rPr>
        <w:t>年调整一次。</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sz w:val="32"/>
          <w:szCs w:val="32"/>
          <w:lang w:eastAsia="zh-CN"/>
        </w:rPr>
      </w:pPr>
      <w:bookmarkStart w:id="348" w:name="_Toc31315"/>
      <w:r>
        <w:rPr>
          <w:rFonts w:hint="eastAsia" w:ascii="黑体" w:hAnsi="黑体" w:eastAsia="黑体" w:cs="黑体"/>
          <w:sz w:val="32"/>
          <w:szCs w:val="32"/>
          <w:lang w:eastAsia="zh-CN"/>
        </w:rPr>
        <w:t>四、划分依据</w:t>
      </w:r>
      <w:bookmarkEnd w:id="348"/>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eastAsia="zh-CN"/>
        </w:rPr>
      </w:pPr>
      <w:bookmarkStart w:id="349" w:name="_Toc346619222"/>
      <w:r>
        <w:rPr>
          <w:rFonts w:hint="eastAsia" w:ascii="楷体_GB2312" w:hAnsi="楷体_GB2312" w:eastAsia="楷体_GB2312" w:cs="楷体_GB2312"/>
          <w:sz w:val="32"/>
          <w:szCs w:val="32"/>
          <w:lang w:eastAsia="zh-CN"/>
        </w:rPr>
        <w:t>（一）任务依据</w:t>
      </w:r>
      <w:bookmarkEnd w:id="349"/>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1</w:t>
      </w:r>
      <w:r>
        <w:rPr>
          <w:rFonts w:hint="eastAsia" w:ascii="仿宋_GB2312" w:hAnsi="仿宋_GB2312" w:eastAsia="仿宋_GB2312" w:cs="仿宋_GB2312"/>
          <w:sz w:val="32"/>
          <w:szCs w:val="32"/>
          <w:lang w:eastAsia="zh-CN"/>
        </w:rPr>
        <w:t>）原国家环境保护部“关于加强环境噪声污染防治工作改善城乡声环境质量的指导意见”（环发〔</w:t>
      </w:r>
      <w:r>
        <w:rPr>
          <w:rFonts w:hint="eastAsia" w:ascii="Times New Roman" w:hAnsi="Times New Roman" w:eastAsia="仿宋_GB2312" w:cs="Times New Roman"/>
          <w:kern w:val="2"/>
          <w:sz w:val="32"/>
          <w:szCs w:val="32"/>
          <w:lang w:eastAsia="zh-CN"/>
        </w:rPr>
        <w:t>20</w:t>
      </w:r>
      <w:r>
        <w:rPr>
          <w:rFonts w:hint="eastAsia" w:ascii="Times New Roman" w:hAnsi="Times New Roman" w:eastAsia="仿宋_GB2312" w:cs="Times New Roman"/>
          <w:kern w:val="2"/>
          <w:sz w:val="32"/>
          <w:szCs w:val="32"/>
          <w:lang w:val="en-US" w:eastAsia="zh-CN"/>
        </w:rPr>
        <w:t>10</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144</w:t>
      </w:r>
      <w:r>
        <w:rPr>
          <w:rFonts w:hint="eastAsia" w:ascii="仿宋_GB2312" w:hAnsi="仿宋_GB2312" w:eastAsia="仿宋_GB2312" w:cs="仿宋_GB2312"/>
          <w:sz w:val="32"/>
          <w:szCs w:val="32"/>
          <w:lang w:eastAsia="zh-CN"/>
        </w:rPr>
        <w:t>号）；</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sz w:val="32"/>
          <w:szCs w:val="32"/>
          <w:lang w:eastAsia="zh-CN"/>
        </w:rPr>
        <w:t>）原国家环境保护部“关于加强和规范声环境功能区划分管理工作的通知”（环办大气函〔</w:t>
      </w:r>
      <w:r>
        <w:rPr>
          <w:rFonts w:hint="eastAsia" w:ascii="Times New Roman" w:hAnsi="Times New Roman" w:eastAsia="仿宋_GB2312" w:cs="Times New Roman"/>
          <w:kern w:val="2"/>
          <w:sz w:val="32"/>
          <w:szCs w:val="32"/>
          <w:lang w:eastAsia="zh-CN"/>
        </w:rPr>
        <w:t>2017</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1709</w:t>
      </w:r>
      <w:r>
        <w:rPr>
          <w:rFonts w:hint="eastAsia" w:ascii="仿宋_GB2312" w:hAnsi="仿宋_GB2312" w:eastAsia="仿宋_GB2312" w:cs="仿宋_GB2312"/>
          <w:sz w:val="32"/>
          <w:szCs w:val="32"/>
          <w:lang w:eastAsia="zh-CN"/>
        </w:rPr>
        <w:t>号）；</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sz w:val="32"/>
          <w:szCs w:val="32"/>
          <w:lang w:eastAsia="zh-CN"/>
        </w:rPr>
        <w:t>）山东省环境保护厅“关于转发环境保护部《关于加强和规范声环境功能区划分管理工作的通知》的通知”（鲁环明传〔</w:t>
      </w:r>
      <w:r>
        <w:rPr>
          <w:rFonts w:hint="default" w:ascii="Times New Roman" w:hAnsi="Times New Roman" w:eastAsia="仿宋_GB2312" w:cs="Times New Roman"/>
          <w:sz w:val="32"/>
          <w:szCs w:val="32"/>
          <w:lang w:eastAsia="zh-CN"/>
        </w:rPr>
        <w:t>2017</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243</w:t>
      </w:r>
      <w:r>
        <w:rPr>
          <w:rFonts w:hint="eastAsia" w:ascii="仿宋_GB2312" w:hAnsi="仿宋_GB2312" w:eastAsia="仿宋_GB2312" w:cs="仿宋_GB2312"/>
          <w:sz w:val="32"/>
          <w:szCs w:val="32"/>
          <w:lang w:eastAsia="zh-CN"/>
        </w:rPr>
        <w:t>号）</w:t>
      </w:r>
      <w:r>
        <w:rPr>
          <w:rFonts w:hint="eastAsia" w:ascii="仿宋_GB2312" w:hAnsi="仿宋_GB2312" w:eastAsia="仿宋_GB2312" w:cs="仿宋_GB2312"/>
          <w:kern w:val="2"/>
          <w:sz w:val="32"/>
          <w:szCs w:val="32"/>
          <w:lang w:eastAsia="zh-CN"/>
        </w:rPr>
        <w:t>。</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eastAsia="zh-CN"/>
        </w:rPr>
      </w:pPr>
      <w:bookmarkStart w:id="350" w:name="_Toc346619223"/>
      <w:r>
        <w:rPr>
          <w:rFonts w:hint="eastAsia" w:ascii="楷体_GB2312" w:hAnsi="楷体_GB2312" w:eastAsia="楷体_GB2312" w:cs="楷体_GB2312"/>
          <w:sz w:val="32"/>
          <w:szCs w:val="32"/>
          <w:lang w:eastAsia="zh-CN"/>
        </w:rPr>
        <w:t>（二）法律法规</w:t>
      </w:r>
      <w:bookmarkEnd w:id="350"/>
      <w:r>
        <w:rPr>
          <w:rFonts w:hint="eastAsia" w:ascii="楷体_GB2312" w:hAnsi="楷体_GB2312" w:eastAsia="楷体_GB2312" w:cs="楷体_GB2312"/>
          <w:sz w:val="32"/>
          <w:szCs w:val="32"/>
          <w:lang w:eastAsia="zh-CN"/>
        </w:rPr>
        <w:tab/>
      </w:r>
    </w:p>
    <w:p>
      <w:pPr>
        <w:pStyle w:val="4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）《中华人民共和国环境保护法》，</w:t>
      </w:r>
      <w:r>
        <w:rPr>
          <w:rFonts w:hint="default" w:ascii="Times New Roman" w:hAnsi="Times New Roman" w:eastAsia="仿宋_GB2312" w:cs="Times New Roman"/>
          <w:sz w:val="32"/>
          <w:szCs w:val="32"/>
          <w:lang w:eastAsia="zh-CN"/>
        </w:rPr>
        <w:t>2015</w:t>
      </w:r>
      <w:r>
        <w:rPr>
          <w:rFonts w:hint="eastAsia" w:ascii="仿宋_GB2312" w:hAnsi="仿宋_GB2312" w:eastAsia="仿宋_GB2312" w:cs="仿宋_GB2312"/>
          <w:sz w:val="32"/>
          <w:szCs w:val="32"/>
          <w:lang w:eastAsia="zh-CN"/>
        </w:rPr>
        <w:t>年</w:t>
      </w:r>
      <w:r>
        <w:rPr>
          <w:rFonts w:hint="eastAsia"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月</w:t>
      </w:r>
      <w:r>
        <w:rPr>
          <w:rFonts w:hint="eastAsia"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日施行；</w:t>
      </w:r>
    </w:p>
    <w:p>
      <w:pPr>
        <w:pStyle w:val="4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2</w:t>
      </w:r>
      <w:r>
        <w:rPr>
          <w:rFonts w:hint="eastAsia" w:ascii="仿宋_GB2312" w:hAnsi="仿宋_GB2312" w:eastAsia="仿宋_GB2312" w:cs="仿宋_GB2312"/>
          <w:sz w:val="32"/>
          <w:szCs w:val="32"/>
          <w:lang w:eastAsia="zh-CN"/>
        </w:rPr>
        <w:t>）《中华人民共和国噪声污染防治法》，</w:t>
      </w:r>
      <w:r>
        <w:rPr>
          <w:rFonts w:hint="eastAsia" w:ascii="Times New Roman" w:hAnsi="Times New Roman" w:eastAsia="仿宋_GB2312" w:cs="Times New Roman"/>
          <w:sz w:val="32"/>
          <w:szCs w:val="32"/>
          <w:lang w:eastAsia="zh-CN"/>
        </w:rPr>
        <w:t>2022</w:t>
      </w:r>
      <w:r>
        <w:rPr>
          <w:rFonts w:hint="eastAsia" w:ascii="仿宋_GB2312" w:hAnsi="仿宋_GB2312" w:eastAsia="仿宋_GB2312" w:cs="仿宋_GB2312"/>
          <w:sz w:val="32"/>
          <w:szCs w:val="32"/>
          <w:lang w:eastAsia="zh-CN"/>
        </w:rPr>
        <w:t>年</w:t>
      </w:r>
      <w:r>
        <w:rPr>
          <w:rFonts w:hint="eastAsia" w:ascii="Times New Roman" w:hAnsi="Times New Roman" w:eastAsia="仿宋_GB2312" w:cs="Times New Roman"/>
          <w:sz w:val="32"/>
          <w:szCs w:val="32"/>
          <w:lang w:eastAsia="zh-CN"/>
        </w:rPr>
        <w:t>6</w:t>
      </w:r>
      <w:r>
        <w:rPr>
          <w:rFonts w:hint="eastAsia" w:ascii="仿宋_GB2312" w:hAnsi="仿宋_GB2312" w:eastAsia="仿宋_GB2312" w:cs="仿宋_GB2312"/>
          <w:sz w:val="32"/>
          <w:szCs w:val="32"/>
          <w:lang w:eastAsia="zh-CN"/>
        </w:rPr>
        <w:t>月</w:t>
      </w:r>
      <w:r>
        <w:rPr>
          <w:rFonts w:hint="eastAsia" w:ascii="Times New Roman" w:hAnsi="Times New Roman" w:eastAsia="仿宋_GB2312" w:cs="Times New Roman"/>
          <w:sz w:val="32"/>
          <w:szCs w:val="32"/>
          <w:lang w:eastAsia="zh-CN"/>
        </w:rPr>
        <w:t>5</w:t>
      </w:r>
      <w:r>
        <w:rPr>
          <w:rFonts w:hint="eastAsia" w:ascii="仿宋_GB2312" w:hAnsi="仿宋_GB2312" w:eastAsia="仿宋_GB2312" w:cs="仿宋_GB2312"/>
          <w:sz w:val="32"/>
          <w:szCs w:val="32"/>
          <w:lang w:eastAsia="zh-CN"/>
        </w:rPr>
        <w:t>日实施；</w:t>
      </w:r>
    </w:p>
    <w:p>
      <w:pPr>
        <w:pStyle w:val="4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3</w:t>
      </w:r>
      <w:r>
        <w:rPr>
          <w:rFonts w:hint="eastAsia" w:ascii="仿宋_GB2312" w:hAnsi="仿宋_GB2312" w:eastAsia="仿宋_GB2312" w:cs="仿宋_GB2312"/>
          <w:sz w:val="32"/>
          <w:szCs w:val="32"/>
          <w:lang w:eastAsia="zh-CN"/>
        </w:rPr>
        <w:t>）《建设项目环境保护管理条例》，国务院令第</w:t>
      </w:r>
      <w:r>
        <w:rPr>
          <w:rFonts w:hint="eastAsia" w:ascii="Times New Roman" w:hAnsi="Times New Roman" w:eastAsia="仿宋_GB2312" w:cs="Times New Roman"/>
          <w:sz w:val="32"/>
          <w:szCs w:val="32"/>
          <w:lang w:eastAsia="zh-CN"/>
        </w:rPr>
        <w:t>253</w:t>
      </w:r>
      <w:r>
        <w:rPr>
          <w:rFonts w:hint="eastAsia" w:ascii="仿宋_GB2312" w:hAnsi="仿宋_GB2312" w:eastAsia="仿宋_GB2312" w:cs="仿宋_GB2312"/>
          <w:sz w:val="32"/>
          <w:szCs w:val="32"/>
          <w:lang w:eastAsia="zh-CN"/>
        </w:rPr>
        <w:t>号发布，</w:t>
      </w:r>
      <w:r>
        <w:rPr>
          <w:rFonts w:hint="eastAsia" w:ascii="Times New Roman" w:hAnsi="Times New Roman" w:eastAsia="仿宋_GB2312" w:cs="Times New Roman"/>
          <w:sz w:val="32"/>
          <w:szCs w:val="32"/>
          <w:lang w:eastAsia="zh-CN"/>
        </w:rPr>
        <w:t>2017</w:t>
      </w:r>
      <w:r>
        <w:rPr>
          <w:rFonts w:hint="eastAsia" w:ascii="仿宋_GB2312" w:hAnsi="仿宋_GB2312" w:eastAsia="仿宋_GB2312" w:cs="仿宋_GB2312"/>
          <w:sz w:val="32"/>
          <w:szCs w:val="32"/>
          <w:lang w:eastAsia="zh-CN"/>
        </w:rPr>
        <w:t>年</w:t>
      </w:r>
      <w:r>
        <w:rPr>
          <w:rFonts w:hint="eastAsia" w:ascii="Times New Roman" w:hAnsi="Times New Roman" w:eastAsia="仿宋_GB2312" w:cs="Times New Roman"/>
          <w:sz w:val="32"/>
          <w:szCs w:val="32"/>
          <w:lang w:eastAsia="zh-CN"/>
        </w:rPr>
        <w:t>7</w:t>
      </w:r>
      <w:r>
        <w:rPr>
          <w:rFonts w:hint="eastAsia" w:ascii="仿宋_GB2312" w:hAnsi="仿宋_GB2312" w:eastAsia="仿宋_GB2312" w:cs="仿宋_GB2312"/>
          <w:sz w:val="32"/>
          <w:szCs w:val="32"/>
          <w:lang w:eastAsia="zh-CN"/>
        </w:rPr>
        <w:t>月</w:t>
      </w:r>
      <w:r>
        <w:rPr>
          <w:rFonts w:hint="eastAsia" w:ascii="Times New Roman" w:hAnsi="Times New Roman" w:eastAsia="仿宋_GB2312" w:cs="Times New Roman"/>
          <w:sz w:val="32"/>
          <w:szCs w:val="32"/>
          <w:lang w:eastAsia="zh-CN"/>
        </w:rPr>
        <w:t>16</w:t>
      </w:r>
      <w:r>
        <w:rPr>
          <w:rFonts w:hint="eastAsia" w:ascii="仿宋_GB2312" w:hAnsi="仿宋_GB2312" w:eastAsia="仿宋_GB2312" w:cs="仿宋_GB2312"/>
          <w:sz w:val="32"/>
          <w:szCs w:val="32"/>
          <w:lang w:eastAsia="zh-CN"/>
        </w:rPr>
        <w:t>日修订；</w:t>
      </w:r>
    </w:p>
    <w:p>
      <w:pPr>
        <w:pStyle w:val="4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4</w:t>
      </w:r>
      <w:r>
        <w:rPr>
          <w:rFonts w:hint="eastAsia" w:ascii="仿宋_GB2312" w:hAnsi="仿宋_GB2312" w:eastAsia="仿宋_GB2312" w:cs="仿宋_GB2312"/>
          <w:sz w:val="32"/>
          <w:szCs w:val="32"/>
          <w:lang w:eastAsia="zh-CN"/>
        </w:rPr>
        <w:t>）关于发布《地面交通噪声污染防治技术政策》的通知，环发〔</w:t>
      </w:r>
      <w:r>
        <w:rPr>
          <w:rFonts w:hint="eastAsia" w:ascii="Times New Roman" w:hAnsi="Times New Roman" w:eastAsia="仿宋_GB2312" w:cs="Times New Roman"/>
          <w:kern w:val="2"/>
          <w:sz w:val="32"/>
          <w:szCs w:val="32"/>
          <w:lang w:eastAsia="zh-CN"/>
        </w:rPr>
        <w:t>20</w:t>
      </w:r>
      <w:r>
        <w:rPr>
          <w:rFonts w:hint="eastAsia" w:ascii="Times New Roman" w:hAnsi="Times New Roman" w:eastAsia="仿宋_GB2312" w:cs="Times New Roman"/>
          <w:kern w:val="2"/>
          <w:sz w:val="32"/>
          <w:szCs w:val="32"/>
          <w:lang w:val="en-US" w:eastAsia="zh-CN"/>
        </w:rPr>
        <w:t>10</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7</w:t>
      </w:r>
      <w:r>
        <w:rPr>
          <w:rFonts w:hint="eastAsia" w:ascii="仿宋_GB2312" w:hAnsi="仿宋_GB2312" w:eastAsia="仿宋_GB2312" w:cs="仿宋_GB2312"/>
          <w:sz w:val="32"/>
          <w:szCs w:val="32"/>
          <w:lang w:eastAsia="zh-CN"/>
        </w:rPr>
        <w:t>号，</w:t>
      </w:r>
      <w:r>
        <w:rPr>
          <w:rFonts w:hint="eastAsia" w:ascii="Times New Roman" w:hAnsi="Times New Roman" w:eastAsia="仿宋_GB2312" w:cs="Times New Roman"/>
          <w:sz w:val="32"/>
          <w:szCs w:val="32"/>
          <w:lang w:eastAsia="zh-CN"/>
        </w:rPr>
        <w:t>2010</w:t>
      </w:r>
      <w:r>
        <w:rPr>
          <w:rFonts w:hint="eastAsia" w:ascii="仿宋_GB2312" w:hAnsi="仿宋_GB2312" w:eastAsia="仿宋_GB2312" w:cs="仿宋_GB2312"/>
          <w:sz w:val="32"/>
          <w:szCs w:val="32"/>
          <w:lang w:eastAsia="zh-CN"/>
        </w:rPr>
        <w:t>年</w:t>
      </w:r>
      <w:r>
        <w:rPr>
          <w:rFonts w:hint="eastAsia"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月</w:t>
      </w:r>
      <w:r>
        <w:rPr>
          <w:rFonts w:hint="eastAsia" w:ascii="Times New Roman" w:hAnsi="Times New Roman" w:eastAsia="仿宋_GB2312" w:cs="Times New Roman"/>
          <w:sz w:val="32"/>
          <w:szCs w:val="32"/>
          <w:lang w:eastAsia="zh-CN"/>
        </w:rPr>
        <w:t>11</w:t>
      </w:r>
      <w:r>
        <w:rPr>
          <w:rFonts w:hint="eastAsia" w:ascii="仿宋_GB2312" w:hAnsi="仿宋_GB2312" w:eastAsia="仿宋_GB2312" w:cs="仿宋_GB2312"/>
          <w:sz w:val="32"/>
          <w:szCs w:val="32"/>
          <w:lang w:eastAsia="zh-CN"/>
        </w:rPr>
        <w:t xml:space="preserve">日； </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5</w:t>
      </w:r>
      <w:r>
        <w:rPr>
          <w:rFonts w:hint="eastAsia" w:ascii="仿宋_GB2312" w:hAnsi="仿宋_GB2312" w:eastAsia="仿宋_GB2312" w:cs="仿宋_GB2312"/>
          <w:sz w:val="32"/>
          <w:szCs w:val="32"/>
          <w:lang w:eastAsia="zh-CN"/>
        </w:rPr>
        <w:t>）《山东省环境保护条例》，</w:t>
      </w:r>
      <w:r>
        <w:rPr>
          <w:rFonts w:hint="eastAsia" w:ascii="Times New Roman" w:hAnsi="Times New Roman" w:eastAsia="仿宋_GB2312" w:cs="Times New Roman"/>
          <w:kern w:val="2"/>
          <w:sz w:val="32"/>
          <w:szCs w:val="32"/>
          <w:lang w:val="en-US" w:eastAsia="zh-CN" w:bidi="ar-SA"/>
        </w:rPr>
        <w:t>2020</w:t>
      </w:r>
      <w:r>
        <w:rPr>
          <w:rFonts w:hint="eastAsia" w:ascii="仿宋_GB2312" w:hAnsi="仿宋_GB2312" w:eastAsia="仿宋_GB2312" w:cs="仿宋_GB2312"/>
          <w:sz w:val="32"/>
          <w:szCs w:val="32"/>
          <w:lang w:eastAsia="zh-CN"/>
        </w:rPr>
        <w:t>年</w:t>
      </w:r>
      <w:r>
        <w:rPr>
          <w:rFonts w:hint="eastAsia" w:ascii="Times New Roman" w:hAnsi="Times New Roman" w:eastAsia="仿宋_GB2312" w:cs="Times New Roman"/>
          <w:kern w:val="2"/>
          <w:sz w:val="32"/>
          <w:szCs w:val="32"/>
          <w:lang w:val="en-US" w:eastAsia="zh-CN" w:bidi="ar-SA"/>
        </w:rPr>
        <w:t>3</w:t>
      </w:r>
      <w:r>
        <w:rPr>
          <w:rFonts w:hint="eastAsia" w:ascii="仿宋_GB2312" w:hAnsi="仿宋_GB2312" w:eastAsia="仿宋_GB2312" w:cs="仿宋_GB2312"/>
          <w:sz w:val="32"/>
          <w:szCs w:val="32"/>
          <w:lang w:eastAsia="zh-CN"/>
        </w:rPr>
        <w:t>月</w:t>
      </w:r>
      <w:r>
        <w:rPr>
          <w:rFonts w:hint="eastAsia" w:ascii="Times New Roman" w:hAnsi="Times New Roman" w:eastAsia="仿宋_GB2312" w:cs="Times New Roman"/>
          <w:kern w:val="2"/>
          <w:sz w:val="32"/>
          <w:szCs w:val="32"/>
          <w:lang w:val="en-US" w:eastAsia="zh-CN" w:bidi="ar-SA"/>
        </w:rPr>
        <w:t>15</w:t>
      </w:r>
      <w:r>
        <w:rPr>
          <w:rFonts w:hint="eastAsia" w:ascii="仿宋_GB2312" w:hAnsi="仿宋_GB2312" w:eastAsia="仿宋_GB2312" w:cs="仿宋_GB2312"/>
          <w:sz w:val="32"/>
          <w:szCs w:val="32"/>
          <w:lang w:eastAsia="zh-CN"/>
        </w:rPr>
        <w:t>日实施</w:t>
      </w:r>
      <w:r>
        <w:rPr>
          <w:rFonts w:hint="eastAsia" w:ascii="仿宋_GB2312" w:hAnsi="仿宋_GB2312" w:eastAsia="仿宋_GB2312" w:cs="仿宋_GB2312"/>
          <w:kern w:val="2"/>
          <w:sz w:val="32"/>
          <w:szCs w:val="32"/>
          <w:lang w:eastAsia="zh-CN"/>
        </w:rPr>
        <w:t>。</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eastAsia="zh-CN"/>
        </w:rPr>
      </w:pPr>
      <w:bookmarkStart w:id="351" w:name="_Toc346619224"/>
      <w:r>
        <w:rPr>
          <w:rFonts w:hint="eastAsia" w:ascii="楷体_GB2312" w:hAnsi="楷体_GB2312" w:eastAsia="楷体_GB2312" w:cs="楷体_GB2312"/>
          <w:sz w:val="32"/>
          <w:szCs w:val="32"/>
          <w:lang w:eastAsia="zh-CN"/>
        </w:rPr>
        <w:t>（三）技术依据</w:t>
      </w:r>
      <w:bookmarkEnd w:id="351"/>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bookmarkStart w:id="352" w:name="_Toc346619225"/>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）《声环境质量标准》（</w:t>
      </w:r>
      <w:r>
        <w:rPr>
          <w:rFonts w:hint="eastAsia" w:ascii="Times New Roman" w:hAnsi="Times New Roman" w:eastAsia="仿宋_GB2312" w:cs="Times New Roman"/>
          <w:kern w:val="2"/>
          <w:sz w:val="32"/>
          <w:szCs w:val="32"/>
          <w:lang w:val="en-US" w:eastAsia="zh-CN" w:bidi="ar-SA"/>
        </w:rPr>
        <w:t>GB3096-2008</w:t>
      </w:r>
      <w:r>
        <w:rPr>
          <w:rFonts w:hint="eastAsia" w:ascii="仿宋_GB2312" w:hAnsi="仿宋_GB2312" w:eastAsia="仿宋_GB2312" w:cs="仿宋_GB2312"/>
          <w:sz w:val="32"/>
          <w:szCs w:val="32"/>
          <w:lang w:eastAsia="zh-CN"/>
        </w:rPr>
        <w:t>）；</w:t>
      </w:r>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2</w:t>
      </w:r>
      <w:r>
        <w:rPr>
          <w:rFonts w:hint="eastAsia" w:ascii="仿宋_GB2312" w:hAnsi="仿宋_GB2312" w:eastAsia="仿宋_GB2312" w:cs="仿宋_GB2312"/>
          <w:sz w:val="32"/>
          <w:szCs w:val="32"/>
          <w:lang w:eastAsia="zh-CN"/>
        </w:rPr>
        <w:t>）《声环境功能区划分技术规范》（</w:t>
      </w:r>
      <w:r>
        <w:rPr>
          <w:rFonts w:hint="eastAsia" w:ascii="Times New Roman" w:hAnsi="Times New Roman" w:eastAsia="仿宋_GB2312" w:cs="Times New Roman"/>
          <w:kern w:val="2"/>
          <w:sz w:val="32"/>
          <w:szCs w:val="32"/>
          <w:lang w:val="en-US" w:eastAsia="zh-CN" w:bidi="ar-SA"/>
        </w:rPr>
        <w:t>GB/T15190-2014）</w:t>
      </w:r>
      <w:r>
        <w:rPr>
          <w:rFonts w:hint="eastAsia" w:ascii="仿宋_GB2312" w:hAnsi="仿宋_GB2312" w:eastAsia="仿宋_GB2312" w:cs="仿宋_GB2312"/>
          <w:sz w:val="32"/>
          <w:szCs w:val="32"/>
          <w:lang w:eastAsia="zh-CN"/>
        </w:rPr>
        <w:t>；</w:t>
      </w:r>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3</w:t>
      </w:r>
      <w:r>
        <w:rPr>
          <w:rFonts w:hint="eastAsia" w:ascii="仿宋_GB2312" w:hAnsi="仿宋_GB2312" w:eastAsia="仿宋_GB2312" w:cs="仿宋_GB2312"/>
          <w:sz w:val="32"/>
          <w:szCs w:val="32"/>
          <w:lang w:eastAsia="zh-CN"/>
        </w:rPr>
        <w:t>）《环境影响评价技术导则声环境》，（</w:t>
      </w:r>
      <w:r>
        <w:rPr>
          <w:rFonts w:hint="default" w:ascii="Times New Roman" w:hAnsi="Times New Roman" w:eastAsia="仿宋_GB2312" w:cs="Times New Roman"/>
          <w:sz w:val="32"/>
          <w:szCs w:val="32"/>
          <w:lang w:eastAsia="zh-CN"/>
        </w:rPr>
        <w:t>HJ2.4-2009</w:t>
      </w:r>
      <w:r>
        <w:rPr>
          <w:rFonts w:hint="eastAsia" w:ascii="仿宋_GB2312" w:hAnsi="仿宋_GB2312" w:eastAsia="仿宋_GB2312" w:cs="仿宋_GB2312"/>
          <w:sz w:val="32"/>
          <w:szCs w:val="32"/>
          <w:lang w:eastAsia="zh-CN"/>
        </w:rPr>
        <w:t>）；</w:t>
      </w:r>
    </w:p>
    <w:p>
      <w:pPr>
        <w:pStyle w:val="4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4</w:t>
      </w:r>
      <w:r>
        <w:rPr>
          <w:rFonts w:hint="eastAsia" w:ascii="仿宋_GB2312" w:hAnsi="仿宋_GB2312" w:eastAsia="仿宋_GB2312" w:cs="仿宋_GB2312"/>
          <w:sz w:val="32"/>
          <w:szCs w:val="32"/>
          <w:lang w:eastAsia="zh-CN"/>
        </w:rPr>
        <w:t>）《工业企业厂界环境噪声排放标准》，（</w:t>
      </w:r>
      <w:r>
        <w:rPr>
          <w:rFonts w:hint="eastAsia" w:ascii="Times New Roman" w:hAnsi="Times New Roman" w:eastAsia="仿宋_GB2312" w:cs="Times New Roman"/>
          <w:sz w:val="32"/>
          <w:szCs w:val="32"/>
          <w:lang w:eastAsia="zh-CN"/>
        </w:rPr>
        <w:t>GB12348-2008</w:t>
      </w:r>
      <w:r>
        <w:rPr>
          <w:rFonts w:hint="eastAsia" w:ascii="仿宋_GB2312" w:hAnsi="仿宋_GB2312" w:eastAsia="仿宋_GB2312" w:cs="仿宋_GB2312"/>
          <w:sz w:val="32"/>
          <w:szCs w:val="32"/>
          <w:lang w:eastAsia="zh-CN"/>
        </w:rPr>
        <w:t>）；</w:t>
      </w:r>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5</w:t>
      </w:r>
      <w:r>
        <w:rPr>
          <w:rFonts w:hint="eastAsia" w:ascii="仿宋_GB2312" w:hAnsi="仿宋_GB2312" w:eastAsia="仿宋_GB2312" w:cs="仿宋_GB2312"/>
          <w:sz w:val="32"/>
          <w:szCs w:val="32"/>
          <w:lang w:eastAsia="zh-CN"/>
        </w:rPr>
        <w:t>）《社会生活环境噪声排放标准》，（</w:t>
      </w:r>
      <w:r>
        <w:rPr>
          <w:rFonts w:hint="eastAsia" w:ascii="Times New Roman" w:hAnsi="Times New Roman" w:eastAsia="仿宋_GB2312" w:cs="Times New Roman"/>
          <w:sz w:val="32"/>
          <w:szCs w:val="32"/>
          <w:lang w:eastAsia="zh-CN"/>
        </w:rPr>
        <w:t>GB22337-2008</w:t>
      </w:r>
      <w:r>
        <w:rPr>
          <w:rFonts w:hint="eastAsia" w:ascii="仿宋_GB2312" w:hAnsi="仿宋_GB2312" w:eastAsia="仿宋_GB2312" w:cs="仿宋_GB2312"/>
          <w:sz w:val="32"/>
          <w:szCs w:val="32"/>
          <w:lang w:eastAsia="zh-CN"/>
        </w:rPr>
        <w:t>）；</w:t>
      </w:r>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6</w:t>
      </w:r>
      <w:r>
        <w:rPr>
          <w:rFonts w:hint="eastAsia" w:ascii="仿宋_GB2312" w:hAnsi="仿宋_GB2312" w:eastAsia="仿宋_GB2312" w:cs="仿宋_GB2312"/>
          <w:sz w:val="32"/>
          <w:szCs w:val="32"/>
          <w:lang w:eastAsia="zh-CN"/>
        </w:rPr>
        <w:t>）《建筑施工场界环境噪声排放标准》（</w:t>
      </w:r>
      <w:r>
        <w:rPr>
          <w:rFonts w:hint="eastAsia" w:ascii="Times New Roman" w:hAnsi="Times New Roman" w:eastAsia="仿宋_GB2312" w:cs="Times New Roman"/>
          <w:sz w:val="32"/>
          <w:szCs w:val="32"/>
          <w:lang w:eastAsia="zh-CN"/>
        </w:rPr>
        <w:t>GB12523-2011</w:t>
      </w:r>
      <w:r>
        <w:rPr>
          <w:rFonts w:hint="eastAsia" w:ascii="仿宋_GB2312" w:hAnsi="仿宋_GB2312" w:eastAsia="仿宋_GB2312" w:cs="仿宋_GB2312"/>
          <w:sz w:val="32"/>
          <w:szCs w:val="32"/>
          <w:lang w:eastAsia="zh-CN"/>
        </w:rPr>
        <w:t>）；</w:t>
      </w:r>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7</w:t>
      </w:r>
      <w:r>
        <w:rPr>
          <w:rFonts w:hint="eastAsia" w:ascii="仿宋_GB2312" w:hAnsi="仿宋_GB2312" w:eastAsia="仿宋_GB2312" w:cs="仿宋_GB2312"/>
          <w:sz w:val="32"/>
          <w:szCs w:val="32"/>
          <w:lang w:eastAsia="zh-CN"/>
        </w:rPr>
        <w:t>）《环境噪声监测技术规范城市声环境常规监测》（</w:t>
      </w:r>
      <w:r>
        <w:rPr>
          <w:rFonts w:hint="eastAsia" w:ascii="Times New Roman" w:hAnsi="Times New Roman" w:eastAsia="仿宋_GB2312" w:cs="Times New Roman"/>
          <w:sz w:val="32"/>
          <w:szCs w:val="32"/>
          <w:lang w:eastAsia="zh-CN"/>
        </w:rPr>
        <w:t>HJ 640-2012</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kern w:val="2"/>
          <w:sz w:val="32"/>
          <w:szCs w:val="32"/>
          <w:lang w:val="en-US" w:eastAsia="zh-CN" w:bidi="ar-SA"/>
        </w:rPr>
        <w:t>8</w:t>
      </w:r>
      <w:r>
        <w:rPr>
          <w:rFonts w:hint="eastAsia" w:ascii="仿宋_GB2312" w:hAnsi="仿宋_GB2312" w:eastAsia="仿宋_GB2312" w:cs="仿宋_GB2312"/>
          <w:sz w:val="32"/>
          <w:szCs w:val="32"/>
          <w:lang w:eastAsia="zh-CN"/>
        </w:rPr>
        <w:t>）《城市用地分类与规划建设用地标准》（</w:t>
      </w:r>
      <w:r>
        <w:rPr>
          <w:rFonts w:hint="default" w:ascii="Times New Roman" w:hAnsi="Times New Roman" w:eastAsia="仿宋_GB2312" w:cs="Times New Roman"/>
          <w:sz w:val="32"/>
          <w:szCs w:val="32"/>
          <w:lang w:eastAsia="zh-CN"/>
        </w:rPr>
        <w:t>GB50137-2011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eastAsia="zh-CN"/>
        </w:rPr>
        <w:t>。</w:t>
      </w:r>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（四）其它依据</w:t>
      </w:r>
      <w:bookmarkEnd w:id="352"/>
    </w:p>
    <w:p>
      <w:pPr>
        <w:pStyle w:val="4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《郯城县</w:t>
      </w:r>
      <w:r>
        <w:rPr>
          <w:rFonts w:hint="eastAsia" w:ascii="仿宋_GB2312" w:hAnsi="仿宋_GB2312" w:eastAsia="仿宋_GB2312" w:cs="仿宋_GB2312"/>
          <w:color w:val="000000" w:themeColor="text1"/>
          <w:sz w:val="32"/>
          <w:szCs w:val="32"/>
          <w:lang w:eastAsia="zh-CN"/>
          <w14:textFill>
            <w14:solidFill>
              <w14:schemeClr w14:val="tx1"/>
            </w14:solidFill>
          </w14:textFill>
        </w:rPr>
        <w:t>城市</w:t>
      </w:r>
      <w:r>
        <w:rPr>
          <w:rFonts w:hint="eastAsia" w:ascii="仿宋_GB2312" w:hAnsi="仿宋_GB2312" w:eastAsia="仿宋_GB2312" w:cs="仿宋_GB2312"/>
          <w:sz w:val="32"/>
          <w:szCs w:val="32"/>
          <w:lang w:eastAsia="zh-CN"/>
        </w:rPr>
        <w:t>总体规划（</w:t>
      </w:r>
      <w:r>
        <w:rPr>
          <w:rFonts w:hint="eastAsia" w:ascii="Times New Roman" w:hAnsi="Times New Roman" w:eastAsia="仿宋_GB2312" w:cs="Times New Roman"/>
          <w:kern w:val="2"/>
          <w:sz w:val="32"/>
          <w:szCs w:val="32"/>
          <w:lang w:val="en-US" w:eastAsia="zh-CN" w:bidi="ar-SA"/>
        </w:rPr>
        <w:t>2010-2025）</w:t>
      </w:r>
      <w:r>
        <w:rPr>
          <w:rFonts w:hint="eastAsia" w:ascii="仿宋_GB2312" w:hAnsi="仿宋_GB2312" w:eastAsia="仿宋_GB2312" w:cs="仿宋_GB2312"/>
          <w:sz w:val="32"/>
          <w:szCs w:val="32"/>
          <w:lang w:eastAsia="zh-CN"/>
        </w:rPr>
        <w:t>》。</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sz w:val="32"/>
          <w:szCs w:val="32"/>
          <w:lang w:eastAsia="zh-CN"/>
        </w:rPr>
      </w:pPr>
      <w:bookmarkStart w:id="353" w:name="_Toc20197"/>
      <w:r>
        <w:rPr>
          <w:rFonts w:hint="eastAsia" w:ascii="黑体" w:hAnsi="黑体" w:eastAsia="黑体" w:cs="黑体"/>
          <w:sz w:val="32"/>
          <w:szCs w:val="32"/>
          <w:lang w:eastAsia="zh-CN"/>
        </w:rPr>
        <w:t>五、工作流程</w:t>
      </w:r>
      <w:bookmarkEnd w:id="353"/>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根据声环境功能区划分目标及《声环境功能区划分技术规范》（</w:t>
      </w:r>
      <w:r>
        <w:rPr>
          <w:rFonts w:hint="default" w:ascii="Times New Roman" w:hAnsi="Times New Roman" w:eastAsia="仿宋_GB2312" w:cs="Times New Roman"/>
          <w:sz w:val="32"/>
          <w:szCs w:val="32"/>
          <w:lang w:eastAsia="zh-CN"/>
        </w:rPr>
        <w:t>GB/T15190-2014</w:t>
      </w:r>
      <w:r>
        <w:rPr>
          <w:rFonts w:hint="eastAsia" w:ascii="仿宋_GB2312" w:hAnsi="仿宋_GB2312" w:eastAsia="仿宋_GB2312" w:cs="仿宋_GB2312"/>
          <w:sz w:val="32"/>
          <w:szCs w:val="32"/>
          <w:lang w:eastAsia="zh-CN"/>
        </w:rPr>
        <w:t>)，确定本次声环境功能区划分技术路线如图</w:t>
      </w:r>
      <w:r>
        <w:rPr>
          <w:rFonts w:hint="default"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所示。</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）收集声环境功能区划工作资料：城市总体规划（文本、说明、图集），城市用地统计资料、声环境质量状况统计资料和比例适当的工作底图。</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2</w:t>
      </w:r>
      <w:r>
        <w:rPr>
          <w:rFonts w:hint="eastAsia" w:ascii="仿宋_GB2312" w:hAnsi="仿宋_GB2312" w:eastAsia="仿宋_GB2312" w:cs="仿宋_GB2312"/>
          <w:sz w:val="32"/>
          <w:szCs w:val="32"/>
          <w:lang w:eastAsia="zh-CN"/>
        </w:rPr>
        <w:t>）现场调查。</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3</w:t>
      </w:r>
      <w:r>
        <w:rPr>
          <w:rFonts w:hint="eastAsia" w:ascii="仿宋_GB2312" w:hAnsi="仿宋_GB2312" w:eastAsia="仿宋_GB2312" w:cs="仿宋_GB2312"/>
          <w:sz w:val="32"/>
          <w:szCs w:val="32"/>
          <w:lang w:eastAsia="zh-CN"/>
        </w:rPr>
        <w:t>）城市总体规划分析与解读，并结合现场调查绘制用地现状图。</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pacing w:val="-11"/>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pacing w:val="-11"/>
          <w:sz w:val="32"/>
          <w:szCs w:val="32"/>
          <w:lang w:eastAsia="zh-CN"/>
        </w:rPr>
        <w:t>确立声环境功能区划单元，划定各区划单元的区域类型。</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5</w:t>
      </w:r>
      <w:r>
        <w:rPr>
          <w:rFonts w:hint="eastAsia" w:ascii="仿宋_GB2312" w:hAnsi="仿宋_GB2312" w:eastAsia="仿宋_GB2312" w:cs="仿宋_GB2312"/>
          <w:sz w:val="32"/>
          <w:szCs w:val="32"/>
          <w:lang w:eastAsia="zh-CN"/>
        </w:rPr>
        <w:t>）把多个区域类型相同且相邻的单元连成片，充分利用街、区行政边界、规划小区边界、道路、河流、沟壑、绿地等自然地形作为区域边界。</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eastAsia="zh-CN"/>
        </w:rPr>
        <w:t>6</w:t>
      </w:r>
      <w:r>
        <w:rPr>
          <w:rFonts w:hint="eastAsia" w:ascii="仿宋_GB2312" w:hAnsi="仿宋_GB2312" w:eastAsia="仿宋_GB2312" w:cs="仿宋_GB2312"/>
          <w:sz w:val="32"/>
          <w:szCs w:val="32"/>
          <w:lang w:eastAsia="zh-CN"/>
        </w:rPr>
        <w:t>）结合现状监测、环境管理要求，对初步划定的区划方案进行分析、调整、融合。</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7</w:t>
      </w:r>
      <w:r>
        <w:rPr>
          <w:rFonts w:hint="eastAsia" w:ascii="仿宋_GB2312" w:hAnsi="仿宋_GB2312" w:eastAsia="仿宋_GB2312" w:cs="仿宋_GB2312"/>
          <w:sz w:val="32"/>
          <w:szCs w:val="32"/>
          <w:lang w:eastAsia="zh-CN"/>
        </w:rPr>
        <w:t>）征求住建、交通等部门对声环境功能区划方案的意见，根据各部门意见重新调整区划结果。</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8</w:t>
      </w:r>
      <w:r>
        <w:rPr>
          <w:rFonts w:hint="eastAsia" w:ascii="仿宋_GB2312" w:hAnsi="仿宋_GB2312" w:eastAsia="仿宋_GB2312" w:cs="仿宋_GB2312"/>
          <w:sz w:val="32"/>
          <w:szCs w:val="32"/>
          <w:lang w:eastAsia="zh-CN"/>
        </w:rPr>
        <w:t>）确定声环境功能区划方案。</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9</w:t>
      </w:r>
      <w:r>
        <w:rPr>
          <w:rFonts w:hint="eastAsia" w:ascii="仿宋_GB2312" w:hAnsi="仿宋_GB2312" w:eastAsia="仿宋_GB2312" w:cs="仿宋_GB2312"/>
          <w:sz w:val="32"/>
          <w:szCs w:val="32"/>
          <w:lang w:eastAsia="zh-CN"/>
        </w:rPr>
        <w:t>）绘制声环境功能区划图。</w:t>
      </w:r>
    </w:p>
    <w:p>
      <w:pPr>
        <w:pStyle w:val="40"/>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10</w:t>
      </w:r>
      <w:r>
        <w:rPr>
          <w:rFonts w:hint="eastAsia" w:ascii="仿宋_GB2312" w:hAnsi="仿宋_GB2312" w:eastAsia="仿宋_GB2312" w:cs="仿宋_GB2312"/>
          <w:sz w:val="32"/>
          <w:szCs w:val="32"/>
          <w:lang w:eastAsia="zh-CN"/>
        </w:rPr>
        <w:t>）系统整理区划工作报告、区划方案、区划图等资料报上级环境保护行政主管部门审批。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5332730" cy="7400925"/>
            <wp:effectExtent l="0" t="0" r="127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3" cstate="print"/>
                    <a:stretch>
                      <a:fillRect/>
                    </a:stretch>
                  </pic:blipFill>
                  <pic:spPr>
                    <a:xfrm>
                      <a:off x="0" y="0"/>
                      <a:ext cx="5332730" cy="7400925"/>
                    </a:xfrm>
                    <a:prstGeom prst="rect">
                      <a:avLst/>
                    </a:prstGeom>
                    <a:noFill/>
                    <a:ln>
                      <a:noFill/>
                    </a:ln>
                  </pic:spPr>
                </pic:pic>
              </a:graphicData>
            </a:graphic>
          </wp:inline>
        </w:drawing>
      </w:r>
    </w:p>
    <w:p>
      <w:pPr>
        <w:pStyle w:val="2"/>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kern w:val="2"/>
          <w:sz w:val="32"/>
          <w:szCs w:val="32"/>
          <w:lang w:eastAsia="zh-CN"/>
        </w:rPr>
      </w:pPr>
      <w:r>
        <w:rPr>
          <w:rFonts w:hint="eastAsia" w:ascii="黑体" w:hAnsi="黑体" w:eastAsia="黑体" w:cs="黑体"/>
          <w:b w:val="0"/>
          <w:bCs w:val="0"/>
          <w:sz w:val="32"/>
          <w:szCs w:val="32"/>
          <w:lang w:eastAsia="zh-CN"/>
        </w:rPr>
        <w:t>图1  声环境功能区划分技术流程图</w:t>
      </w:r>
      <w:bookmarkStart w:id="354" w:name="_Toc14061"/>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六、声环境区划及其分类</w:t>
      </w:r>
      <w:bookmarkEnd w:id="354"/>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根据《声环境质量标准》（</w:t>
      </w:r>
      <w:r>
        <w:rPr>
          <w:rFonts w:hint="default" w:ascii="Times New Roman" w:hAnsi="Times New Roman" w:eastAsia="仿宋_GB2312" w:cs="Times New Roman"/>
          <w:kern w:val="2"/>
          <w:sz w:val="32"/>
          <w:szCs w:val="32"/>
          <w:lang w:eastAsia="zh-CN"/>
        </w:rPr>
        <w:t>GB3096-2008</w:t>
      </w:r>
      <w:r>
        <w:rPr>
          <w:rFonts w:hint="eastAsia" w:ascii="仿宋_GB2312" w:hAnsi="仿宋_GB2312" w:eastAsia="仿宋_GB2312" w:cs="仿宋_GB2312"/>
          <w:kern w:val="2"/>
          <w:sz w:val="32"/>
          <w:szCs w:val="32"/>
          <w:lang w:eastAsia="zh-CN"/>
        </w:rPr>
        <w:t>）的规定，声环境功能区按区域的使用功能特点和环境质量要求，分为五类声环境功能区，包括</w:t>
      </w:r>
      <w:r>
        <w:rPr>
          <w:rFonts w:hint="eastAsia" w:ascii="Times New Roman" w:hAnsi="Times New Roman" w:eastAsia="仿宋_GB2312" w:cs="Times New Roman"/>
          <w:kern w:val="2"/>
          <w:sz w:val="32"/>
          <w:szCs w:val="32"/>
          <w:lang w:eastAsia="zh-CN"/>
        </w:rPr>
        <w:t>0</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类，其中：</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0</w:t>
      </w:r>
      <w:r>
        <w:rPr>
          <w:rFonts w:hint="eastAsia" w:ascii="仿宋_GB2312" w:hAnsi="仿宋_GB2312" w:eastAsia="仿宋_GB2312" w:cs="仿宋_GB2312"/>
          <w:kern w:val="2"/>
          <w:sz w:val="32"/>
          <w:szCs w:val="32"/>
          <w:lang w:eastAsia="zh-CN"/>
        </w:rPr>
        <w:t>类声环境功能区：指康复疗养区等特别需要安静的区域。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类声环境功能区：指以居民住宅、医疗卫生、文化教育、科研设计、行政办公为主要功能，需要保持安静的区域。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类声环境功能区：指以商业金融、集市贸易为主要功能，或者居住、商业、工业混杂，需要维护住宅安静的区域。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类声环境功能区：指以工业生产、仓储物流为主要功能，需要防止工业噪声对周围环境产生严重影响的区域。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类声环境功能区：指交通干线两侧一定距离之内，需要防止交通噪声对周围环境产生严重影响的区域，包括</w:t>
      </w:r>
      <w:r>
        <w:rPr>
          <w:rFonts w:hint="default" w:ascii="Times New Roman" w:hAnsi="Times New Roman" w:eastAsia="仿宋_GB2312" w:cs="Times New Roman"/>
          <w:kern w:val="2"/>
          <w:sz w:val="32"/>
          <w:szCs w:val="32"/>
          <w:lang w:eastAsia="zh-CN"/>
        </w:rPr>
        <w:t>4a</w:t>
      </w:r>
      <w:r>
        <w:rPr>
          <w:rFonts w:hint="eastAsia" w:ascii="仿宋_GB2312" w:hAnsi="仿宋_GB2312" w:eastAsia="仿宋_GB2312" w:cs="仿宋_GB2312"/>
          <w:kern w:val="2"/>
          <w:sz w:val="32"/>
          <w:szCs w:val="32"/>
          <w:lang w:eastAsia="zh-CN"/>
        </w:rPr>
        <w:t>类和</w:t>
      </w:r>
      <w:r>
        <w:rPr>
          <w:rFonts w:hint="default" w:ascii="Times New Roman" w:hAnsi="Times New Roman" w:eastAsia="仿宋_GB2312" w:cs="Times New Roman"/>
          <w:kern w:val="2"/>
          <w:sz w:val="32"/>
          <w:szCs w:val="32"/>
          <w:lang w:eastAsia="zh-CN"/>
        </w:rPr>
        <w:t>4b</w:t>
      </w:r>
      <w:r>
        <w:rPr>
          <w:rFonts w:hint="eastAsia" w:ascii="仿宋_GB2312" w:hAnsi="仿宋_GB2312" w:eastAsia="仿宋_GB2312" w:cs="仿宋_GB2312"/>
          <w:kern w:val="2"/>
          <w:sz w:val="32"/>
          <w:szCs w:val="32"/>
          <w:lang w:eastAsia="zh-CN"/>
        </w:rPr>
        <w:t>类两种类型。</w:t>
      </w:r>
      <w:r>
        <w:rPr>
          <w:rFonts w:hint="default" w:ascii="Times New Roman" w:hAnsi="Times New Roman" w:eastAsia="仿宋_GB2312" w:cs="Times New Roman"/>
          <w:kern w:val="2"/>
          <w:sz w:val="32"/>
          <w:szCs w:val="32"/>
          <w:lang w:eastAsia="zh-CN"/>
        </w:rPr>
        <w:t>4a</w:t>
      </w:r>
      <w:r>
        <w:rPr>
          <w:rFonts w:hint="eastAsia" w:ascii="仿宋_GB2312" w:hAnsi="仿宋_GB2312" w:eastAsia="仿宋_GB2312" w:cs="仿宋_GB2312"/>
          <w:kern w:val="2"/>
          <w:sz w:val="32"/>
          <w:szCs w:val="32"/>
          <w:lang w:eastAsia="zh-CN"/>
        </w:rPr>
        <w:t>类为高速公路、一级公路、二级公路、城市快速路、城市主干路、城市次干路、城市轨道交通（地面段）、内河航道两侧区域；</w:t>
      </w:r>
      <w:r>
        <w:rPr>
          <w:rFonts w:hint="eastAsia" w:ascii="Times New Roman" w:hAnsi="Times New Roman" w:eastAsia="仿宋_GB2312" w:cs="Times New Roman"/>
          <w:kern w:val="2"/>
          <w:sz w:val="32"/>
          <w:szCs w:val="32"/>
          <w:lang w:eastAsia="zh-CN"/>
        </w:rPr>
        <w:t>4b</w:t>
      </w:r>
      <w:r>
        <w:rPr>
          <w:rFonts w:hint="eastAsia" w:ascii="仿宋_GB2312" w:hAnsi="仿宋_GB2312" w:eastAsia="仿宋_GB2312" w:cs="仿宋_GB2312"/>
          <w:kern w:val="2"/>
          <w:sz w:val="32"/>
          <w:szCs w:val="32"/>
          <w:lang w:eastAsia="zh-CN"/>
        </w:rPr>
        <w:t>类为铁路干线两侧区域。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2"/>
          <w:sz w:val="32"/>
          <w:szCs w:val="32"/>
          <w:lang w:eastAsia="zh-CN"/>
        </w:rPr>
      </w:pPr>
      <w:bookmarkStart w:id="355" w:name="_Toc32523"/>
      <w:r>
        <w:rPr>
          <w:rFonts w:hint="eastAsia" w:ascii="黑体" w:hAnsi="黑体" w:eastAsia="黑体" w:cs="黑体"/>
          <w:kern w:val="2"/>
          <w:sz w:val="32"/>
          <w:szCs w:val="32"/>
          <w:lang w:eastAsia="zh-CN"/>
        </w:rPr>
        <w:t>七、声环境功能区适用标准</w:t>
      </w:r>
      <w:bookmarkEnd w:id="355"/>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根据《声环境质量标准》（</w:t>
      </w:r>
      <w:r>
        <w:rPr>
          <w:rFonts w:hint="eastAsia" w:ascii="Times New Roman" w:hAnsi="Times New Roman" w:eastAsia="仿宋_GB2312" w:cs="Times New Roman"/>
          <w:kern w:val="2"/>
          <w:sz w:val="32"/>
          <w:szCs w:val="32"/>
          <w:lang w:eastAsia="zh-CN"/>
        </w:rPr>
        <w:t>GB3096-2008）</w:t>
      </w:r>
      <w:r>
        <w:rPr>
          <w:rFonts w:hint="eastAsia" w:ascii="仿宋_GB2312" w:hAnsi="仿宋_GB2312" w:eastAsia="仿宋_GB2312" w:cs="仿宋_GB2312"/>
          <w:kern w:val="2"/>
          <w:sz w:val="32"/>
          <w:szCs w:val="32"/>
          <w:lang w:eastAsia="zh-CN"/>
        </w:rPr>
        <w:t>的规定，</w:t>
      </w:r>
      <w:r>
        <w:rPr>
          <w:rFonts w:hint="default" w:ascii="Times New Roman" w:hAnsi="Times New Roman" w:eastAsia="仿宋_GB2312" w:cs="Times New Roman"/>
          <w:kern w:val="2"/>
          <w:sz w:val="32"/>
          <w:szCs w:val="32"/>
          <w:lang w:eastAsia="zh-CN"/>
        </w:rPr>
        <w:t>0</w:t>
      </w:r>
      <w:r>
        <w:rPr>
          <w:rFonts w:hint="eastAsia" w:ascii="仿宋_GB2312" w:hAnsi="仿宋_GB2312" w:eastAsia="仿宋_GB2312" w:cs="仿宋_GB2312"/>
          <w:kern w:val="2"/>
          <w:sz w:val="32"/>
          <w:szCs w:val="32"/>
          <w:lang w:eastAsia="zh-CN"/>
        </w:rPr>
        <w:t>类、</w:t>
      </w: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类声功能区环境噪声限值见下表</w:t>
      </w:r>
      <w:r>
        <w:rPr>
          <w:rFonts w:hint="eastAsia"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w:t>
      </w:r>
    </w:p>
    <w:p>
      <w:pPr>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b w:val="0"/>
          <w:bCs w:val="0"/>
          <w:kern w:val="2"/>
          <w:sz w:val="32"/>
          <w:szCs w:val="32"/>
          <w:lang w:eastAsia="zh-CN"/>
        </w:rPr>
      </w:pPr>
      <w:r>
        <w:rPr>
          <w:rFonts w:hint="eastAsia" w:ascii="黑体" w:hAnsi="黑体" w:eastAsia="黑体" w:cs="黑体"/>
          <w:b w:val="0"/>
          <w:bCs w:val="0"/>
          <w:kern w:val="2"/>
          <w:sz w:val="32"/>
          <w:szCs w:val="32"/>
          <w:lang w:eastAsia="zh-CN"/>
        </w:rPr>
        <w:t>表</w:t>
      </w:r>
      <w:r>
        <w:rPr>
          <w:rFonts w:hint="default" w:ascii="Times New Roman" w:hAnsi="Times New Roman" w:eastAsia="黑体" w:cs="Times New Roman"/>
          <w:b w:val="0"/>
          <w:bCs w:val="0"/>
          <w:kern w:val="2"/>
          <w:sz w:val="32"/>
          <w:szCs w:val="32"/>
          <w:lang w:eastAsia="zh-CN"/>
        </w:rPr>
        <w:t>1</w:t>
      </w:r>
      <w:r>
        <w:rPr>
          <w:rFonts w:hint="eastAsia" w:ascii="黑体" w:hAnsi="黑体" w:eastAsia="黑体" w:cs="黑体"/>
          <w:b w:val="0"/>
          <w:bCs w:val="0"/>
          <w:kern w:val="2"/>
          <w:sz w:val="32"/>
          <w:szCs w:val="32"/>
          <w:lang w:eastAsia="zh-CN"/>
        </w:rPr>
        <w:t xml:space="preserve"> 声环境质量标准限值 单位：dB(A)</w:t>
      </w:r>
    </w:p>
    <w:tbl>
      <w:tblPr>
        <w:tblStyle w:val="1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14"/>
        <w:gridCol w:w="1397"/>
        <w:gridCol w:w="2913"/>
        <w:gridCol w:w="2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trPr>
        <w:tc>
          <w:tcPr>
            <w:tcW w:w="1665" w:type="pct"/>
            <w:gridSpan w:val="2"/>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声环境功能区类别</w:t>
            </w:r>
          </w:p>
        </w:tc>
        <w:tc>
          <w:tcPr>
            <w:tcW w:w="1666"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昼间[dB(A)]</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夜间[dB(A)]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665" w:type="pct"/>
            <w:gridSpan w:val="2"/>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0类</w:t>
            </w:r>
          </w:p>
        </w:tc>
        <w:tc>
          <w:tcPr>
            <w:tcW w:w="1666"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5" w:type="pct"/>
            <w:gridSpan w:val="2"/>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1类</w:t>
            </w:r>
          </w:p>
        </w:tc>
        <w:tc>
          <w:tcPr>
            <w:tcW w:w="1666"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55</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5" w:type="pct"/>
            <w:gridSpan w:val="2"/>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2类</w:t>
            </w:r>
          </w:p>
        </w:tc>
        <w:tc>
          <w:tcPr>
            <w:tcW w:w="1666"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5" w:type="pct"/>
            <w:gridSpan w:val="2"/>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3类</w:t>
            </w:r>
          </w:p>
        </w:tc>
        <w:tc>
          <w:tcPr>
            <w:tcW w:w="1666"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65</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866" w:type="pct"/>
            <w:vMerge w:val="restar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4类</w:t>
            </w:r>
          </w:p>
        </w:tc>
        <w:tc>
          <w:tcPr>
            <w:tcW w:w="799"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4a类</w:t>
            </w:r>
          </w:p>
        </w:tc>
        <w:tc>
          <w:tcPr>
            <w:tcW w:w="1666"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8" w:hRule="atLeast"/>
        </w:trPr>
        <w:tc>
          <w:tcPr>
            <w:tcW w:w="866" w:type="pct"/>
            <w:vMerge w:val="continue"/>
            <w:tcBorders>
              <w:top w:val="nil"/>
            </w:tcBorders>
            <w:vAlign w:val="center"/>
          </w:tcPr>
          <w:p>
            <w:pPr>
              <w:pStyle w:val="41"/>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kern w:val="2"/>
                <w:sz w:val="32"/>
                <w:szCs w:val="32"/>
                <w:lang w:eastAsia="zh-CN"/>
              </w:rPr>
            </w:pPr>
          </w:p>
        </w:tc>
        <w:tc>
          <w:tcPr>
            <w:tcW w:w="799"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4b类</w:t>
            </w:r>
          </w:p>
        </w:tc>
        <w:tc>
          <w:tcPr>
            <w:tcW w:w="1666"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60</w:t>
            </w:r>
          </w:p>
        </w:tc>
      </w:tr>
    </w:tbl>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“昼间”是指</w:t>
      </w:r>
      <w:r>
        <w:rPr>
          <w:rFonts w:hint="default" w:ascii="Times New Roman" w:hAnsi="Times New Roman" w:eastAsia="仿宋_GB2312" w:cs="Times New Roman"/>
          <w:kern w:val="2"/>
          <w:sz w:val="32"/>
          <w:szCs w:val="32"/>
          <w:lang w:eastAsia="zh-CN"/>
        </w:rPr>
        <w:t>6:00</w:t>
      </w:r>
      <w:r>
        <w:rPr>
          <w:rFonts w:hint="eastAsia" w:ascii="仿宋_GB2312" w:hAnsi="仿宋_GB2312" w:eastAsia="仿宋_GB2312" w:cs="仿宋_GB2312"/>
          <w:kern w:val="2"/>
          <w:sz w:val="32"/>
          <w:szCs w:val="32"/>
          <w:lang w:eastAsia="zh-CN"/>
        </w:rPr>
        <w:t>至</w:t>
      </w:r>
      <w:r>
        <w:rPr>
          <w:rFonts w:hint="eastAsia" w:ascii="Times New Roman" w:hAnsi="Times New Roman" w:eastAsia="仿宋_GB2312" w:cs="Times New Roman"/>
          <w:kern w:val="2"/>
          <w:sz w:val="32"/>
          <w:szCs w:val="32"/>
          <w:lang w:eastAsia="zh-CN"/>
        </w:rPr>
        <w:t>22:00</w:t>
      </w:r>
      <w:r>
        <w:rPr>
          <w:rFonts w:hint="eastAsia" w:ascii="仿宋_GB2312" w:hAnsi="仿宋_GB2312" w:eastAsia="仿宋_GB2312" w:cs="仿宋_GB2312"/>
          <w:kern w:val="2"/>
          <w:sz w:val="32"/>
          <w:szCs w:val="32"/>
          <w:lang w:eastAsia="zh-CN"/>
        </w:rPr>
        <w:t>之间的时段，该时段执行昼间标准；“夜间”是指</w:t>
      </w:r>
      <w:r>
        <w:rPr>
          <w:rFonts w:hint="eastAsia" w:ascii="Times New Roman" w:hAnsi="Times New Roman" w:eastAsia="仿宋_GB2312" w:cs="Times New Roman"/>
          <w:kern w:val="2"/>
          <w:sz w:val="32"/>
          <w:szCs w:val="32"/>
          <w:lang w:eastAsia="zh-CN"/>
        </w:rPr>
        <w:t>22:00</w:t>
      </w:r>
      <w:r>
        <w:rPr>
          <w:rFonts w:hint="eastAsia" w:ascii="仿宋_GB2312" w:hAnsi="仿宋_GB2312" w:eastAsia="仿宋_GB2312" w:cs="仿宋_GB2312"/>
          <w:kern w:val="2"/>
          <w:sz w:val="32"/>
          <w:szCs w:val="32"/>
          <w:lang w:eastAsia="zh-CN"/>
        </w:rPr>
        <w:t>至次日</w:t>
      </w:r>
      <w:r>
        <w:rPr>
          <w:rFonts w:hint="eastAsia" w:ascii="Times New Roman" w:hAnsi="Times New Roman" w:eastAsia="仿宋_GB2312" w:cs="Times New Roman"/>
          <w:kern w:val="2"/>
          <w:sz w:val="32"/>
          <w:szCs w:val="32"/>
          <w:lang w:eastAsia="zh-CN"/>
        </w:rPr>
        <w:t>6:00</w:t>
      </w:r>
      <w:r>
        <w:rPr>
          <w:rFonts w:hint="eastAsia" w:ascii="仿宋_GB2312" w:hAnsi="仿宋_GB2312" w:eastAsia="仿宋_GB2312" w:cs="仿宋_GB2312"/>
          <w:kern w:val="2"/>
          <w:sz w:val="32"/>
          <w:szCs w:val="32"/>
          <w:lang w:eastAsia="zh-CN"/>
        </w:rPr>
        <w:t>之间的时段，该时段执行夜间标准。</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2"/>
          <w:sz w:val="32"/>
          <w:szCs w:val="32"/>
          <w:lang w:eastAsia="zh-CN"/>
        </w:rPr>
      </w:pPr>
      <w:bookmarkStart w:id="356" w:name="_Toc20924"/>
      <w:r>
        <w:rPr>
          <w:rFonts w:hint="eastAsia" w:ascii="黑体" w:hAnsi="黑体" w:eastAsia="黑体" w:cs="黑体"/>
          <w:kern w:val="2"/>
          <w:sz w:val="32"/>
          <w:szCs w:val="32"/>
          <w:lang w:eastAsia="zh-CN"/>
        </w:rPr>
        <w:t>八、声环境功能区划分方法</w:t>
      </w:r>
      <w:bookmarkEnd w:id="356"/>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（一）划分次序</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区划宜首先对</w:t>
      </w:r>
      <w:r>
        <w:rPr>
          <w:rFonts w:hint="default" w:ascii="Times New Roman" w:hAnsi="Times New Roman" w:eastAsia="仿宋_GB2312" w:cs="Times New Roman"/>
          <w:kern w:val="2"/>
          <w:sz w:val="32"/>
          <w:szCs w:val="32"/>
          <w:lang w:eastAsia="zh-CN"/>
        </w:rPr>
        <w:t>0、1、3</w:t>
      </w:r>
      <w:r>
        <w:rPr>
          <w:rFonts w:hint="eastAsia" w:ascii="仿宋_GB2312" w:hAnsi="仿宋_GB2312" w:eastAsia="仿宋_GB2312" w:cs="仿宋_GB2312"/>
          <w:kern w:val="2"/>
          <w:sz w:val="32"/>
          <w:szCs w:val="32"/>
          <w:lang w:eastAsia="zh-CN"/>
        </w:rPr>
        <w:t>类声环境功能区确认划分，余下区域划分为</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类声环境功能区，在此基础上划分</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（二）</w:t>
      </w:r>
      <w:r>
        <w:rPr>
          <w:rFonts w:hint="default" w:ascii="Times New Roman" w:hAnsi="Times New Roman" w:eastAsia="楷体_GB2312" w:cs="Times New Roman"/>
          <w:kern w:val="2"/>
          <w:sz w:val="32"/>
          <w:szCs w:val="32"/>
          <w:lang w:eastAsia="zh-CN"/>
        </w:rPr>
        <w:t>0</w:t>
      </w:r>
      <w:r>
        <w:rPr>
          <w:rFonts w:hint="eastAsia" w:ascii="楷体_GB2312" w:hAnsi="楷体_GB2312" w:eastAsia="楷体_GB2312" w:cs="楷体_GB2312"/>
          <w:kern w:val="2"/>
          <w:sz w:val="32"/>
          <w:szCs w:val="32"/>
          <w:lang w:eastAsia="zh-CN"/>
        </w:rPr>
        <w:t>类声环境功能区划分</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楷体_GB2312" w:cs="Times New Roman"/>
          <w:kern w:val="2"/>
          <w:sz w:val="32"/>
          <w:szCs w:val="32"/>
          <w:lang w:eastAsia="zh-CN"/>
        </w:rPr>
        <w:t>0</w:t>
      </w:r>
      <w:r>
        <w:rPr>
          <w:rFonts w:hint="eastAsia" w:ascii="仿宋_GB2312" w:hAnsi="仿宋_GB2312" w:eastAsia="仿宋_GB2312" w:cs="仿宋_GB2312"/>
          <w:kern w:val="2"/>
          <w:sz w:val="32"/>
          <w:szCs w:val="32"/>
          <w:lang w:eastAsia="zh-CN"/>
        </w:rPr>
        <w:t>类声环境功能区适用于康复疗养区等特别需要安静的区域。该区域内及附近区域应无明显噪声源，区域界限明确。面积不得小于</w:t>
      </w:r>
      <w:r>
        <w:rPr>
          <w:rFonts w:hint="default" w:ascii="Times New Roman" w:hAnsi="Times New Roman" w:eastAsia="楷体_GB2312" w:cs="Times New Roman"/>
          <w:kern w:val="2"/>
          <w:sz w:val="32"/>
          <w:szCs w:val="32"/>
          <w:lang w:eastAsia="zh-CN"/>
        </w:rPr>
        <w:t>0.5</w:t>
      </w:r>
      <w:r>
        <w:rPr>
          <w:rFonts w:hint="default" w:ascii="Times New Roman" w:hAnsi="Times New Roman" w:eastAsia="仿宋_GB2312" w:cs="Times New Roman"/>
          <w:kern w:val="2"/>
          <w:sz w:val="32"/>
          <w:szCs w:val="32"/>
          <w:lang w:eastAsia="zh-CN"/>
        </w:rPr>
        <w:t>km</w:t>
      </w:r>
      <w:r>
        <w:rPr>
          <w:rFonts w:hint="default" w:ascii="Times New Roman" w:hAnsi="Times New Roman" w:eastAsia="仿宋_GB2312" w:cs="Times New Roman"/>
          <w:kern w:val="2"/>
          <w:sz w:val="32"/>
          <w:szCs w:val="32"/>
          <w:vertAlign w:val="superscript"/>
          <w:lang w:eastAsia="zh-CN"/>
        </w:rPr>
        <w:t>2</w:t>
      </w:r>
      <w:r>
        <w:rPr>
          <w:rFonts w:hint="eastAsia" w:ascii="仿宋_GB2312" w:hAnsi="仿宋_GB2312" w:eastAsia="仿宋_GB2312" w:cs="仿宋_GB2312"/>
          <w:kern w:val="2"/>
          <w:sz w:val="32"/>
          <w:szCs w:val="32"/>
          <w:lang w:eastAsia="zh-CN"/>
        </w:rPr>
        <w:t>。</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（三）符合下列条件之一的划为</w:t>
      </w:r>
      <w:r>
        <w:rPr>
          <w:rFonts w:hint="default" w:ascii="Times New Roman" w:hAnsi="Times New Roman" w:eastAsia="楷体_GB2312" w:cs="Times New Roman"/>
          <w:kern w:val="2"/>
          <w:sz w:val="32"/>
          <w:szCs w:val="32"/>
          <w:lang w:eastAsia="zh-CN"/>
        </w:rPr>
        <w:t>1</w:t>
      </w:r>
      <w:r>
        <w:rPr>
          <w:rFonts w:hint="eastAsia" w:ascii="楷体_GB2312" w:hAnsi="楷体_GB2312" w:eastAsia="楷体_GB2312" w:cs="楷体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.城市用地现状已形成一定规模或近期规划已明确主要功能的区域，其用地性质符合《声环境质量标准》（</w:t>
      </w:r>
      <w:r>
        <w:rPr>
          <w:rFonts w:hint="default" w:ascii="Times New Roman" w:hAnsi="Times New Roman" w:eastAsia="仿宋_GB2312" w:cs="Times New Roman"/>
          <w:kern w:val="2"/>
          <w:sz w:val="32"/>
          <w:szCs w:val="32"/>
          <w:lang w:eastAsia="zh-CN"/>
        </w:rPr>
        <w:t>GB3096</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2008</w:t>
      </w: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类声环境功能区规定的区域；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w:t>
      </w:r>
      <w:r>
        <w:rPr>
          <w:rFonts w:hint="default" w:ascii="Times New Roman" w:hAnsi="Times New Roman" w:eastAsia="仿宋_GB2312" w:cs="Times New Roman"/>
          <w:kern w:val="2"/>
          <w:sz w:val="32"/>
          <w:szCs w:val="32"/>
          <w:lang w:eastAsia="zh-CN"/>
        </w:rPr>
        <w:t>Ⅰ</w:t>
      </w:r>
      <w:r>
        <w:rPr>
          <w:rFonts w:hint="eastAsia" w:ascii="仿宋_GB2312" w:hAnsi="仿宋_GB2312" w:eastAsia="仿宋_GB2312" w:cs="仿宋_GB2312"/>
          <w:kern w:val="2"/>
          <w:sz w:val="32"/>
          <w:szCs w:val="32"/>
          <w:lang w:eastAsia="zh-CN"/>
        </w:rPr>
        <w:t>类用地占地率大于</w:t>
      </w:r>
      <w:r>
        <w:rPr>
          <w:rFonts w:hint="default" w:ascii="Times New Roman" w:hAnsi="Times New Roman" w:eastAsia="仿宋_GB2312" w:cs="Times New Roman"/>
          <w:kern w:val="2"/>
          <w:sz w:val="32"/>
          <w:szCs w:val="32"/>
          <w:lang w:eastAsia="zh-CN"/>
        </w:rPr>
        <w:t>70%</w:t>
      </w:r>
      <w:r>
        <w:rPr>
          <w:rFonts w:hint="eastAsia" w:ascii="仿宋_GB2312" w:hAnsi="仿宋_GB2312" w:eastAsia="仿宋_GB2312" w:cs="仿宋_GB2312"/>
          <w:kern w:val="2"/>
          <w:sz w:val="32"/>
          <w:szCs w:val="32"/>
          <w:lang w:eastAsia="zh-CN"/>
        </w:rPr>
        <w:t>（含</w:t>
      </w:r>
      <w:r>
        <w:rPr>
          <w:rFonts w:hint="eastAsia" w:ascii="Times New Roman" w:hAnsi="Times New Roman" w:eastAsia="仿宋_GB2312" w:cs="Times New Roman"/>
          <w:kern w:val="2"/>
          <w:sz w:val="32"/>
          <w:szCs w:val="32"/>
          <w:lang w:eastAsia="zh-CN"/>
        </w:rPr>
        <w:t>70%</w:t>
      </w:r>
      <w:r>
        <w:rPr>
          <w:rFonts w:hint="eastAsia" w:ascii="仿宋_GB2312" w:hAnsi="仿宋_GB2312" w:eastAsia="仿宋_GB2312" w:cs="仿宋_GB2312"/>
          <w:kern w:val="2"/>
          <w:sz w:val="32"/>
          <w:szCs w:val="32"/>
          <w:lang w:eastAsia="zh-CN"/>
        </w:rPr>
        <w:t>）的混合用地区域。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（四）符合下列条件之一的划为</w:t>
      </w:r>
      <w:r>
        <w:rPr>
          <w:rFonts w:hint="eastAsia" w:ascii="Times New Roman" w:hAnsi="Times New Roman" w:eastAsia="仿宋_GB2312" w:cs="Times New Roman"/>
          <w:kern w:val="2"/>
          <w:sz w:val="32"/>
          <w:szCs w:val="32"/>
          <w:lang w:eastAsia="zh-CN"/>
        </w:rPr>
        <w:t>2</w:t>
      </w:r>
      <w:r>
        <w:rPr>
          <w:rFonts w:hint="eastAsia" w:ascii="楷体_GB2312" w:hAnsi="楷体_GB2312" w:eastAsia="楷体_GB2312" w:cs="楷体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.城市用地现状已形成一定规模或近期规划已明确主要功能的区域，其用地性质符合《声环境质量标准》（</w:t>
      </w:r>
      <w:r>
        <w:rPr>
          <w:rFonts w:hint="default" w:ascii="Times New Roman" w:hAnsi="Times New Roman" w:eastAsia="仿宋_GB2312" w:cs="Times New Roman"/>
          <w:kern w:val="2"/>
          <w:sz w:val="32"/>
          <w:szCs w:val="32"/>
          <w:lang w:eastAsia="zh-CN"/>
        </w:rPr>
        <w:t>GB3096</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2008</w:t>
      </w: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类声环境功能区规定的区域；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.划定的</w:t>
      </w:r>
      <w:r>
        <w:rPr>
          <w:rFonts w:hint="eastAsia" w:ascii="Times New Roman" w:hAnsi="Times New Roman" w:eastAsia="仿宋_GB2312" w:cs="Times New Roman"/>
          <w:kern w:val="2"/>
          <w:sz w:val="32"/>
          <w:szCs w:val="32"/>
          <w:lang w:eastAsia="zh-CN"/>
        </w:rPr>
        <w:t>0、1、3</w:t>
      </w:r>
      <w:r>
        <w:rPr>
          <w:rFonts w:hint="eastAsia" w:ascii="仿宋_GB2312" w:hAnsi="仿宋_GB2312" w:eastAsia="仿宋_GB2312" w:cs="仿宋_GB2312"/>
          <w:kern w:val="2"/>
          <w:sz w:val="32"/>
          <w:szCs w:val="32"/>
          <w:lang w:eastAsia="zh-CN"/>
        </w:rPr>
        <w:t>类声环境功能区以外居住、商业、工业混杂区域。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（五）符合下列条件之一的划为</w:t>
      </w:r>
      <w:r>
        <w:rPr>
          <w:rFonts w:hint="default" w:ascii="Times New Roman" w:hAnsi="Times New Roman" w:eastAsia="楷体_GB2312" w:cs="Times New Roman"/>
          <w:kern w:val="2"/>
          <w:sz w:val="32"/>
          <w:szCs w:val="32"/>
          <w:lang w:eastAsia="zh-CN"/>
        </w:rPr>
        <w:t>3</w:t>
      </w:r>
      <w:r>
        <w:rPr>
          <w:rFonts w:hint="eastAsia" w:ascii="楷体_GB2312" w:hAnsi="楷体_GB2312" w:eastAsia="楷体_GB2312" w:cs="楷体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.城市用地现状已形成一定规模或近期规划已明确主要功能的区域，其用地性质符合《声环境质量标准》（</w:t>
      </w:r>
      <w:r>
        <w:rPr>
          <w:rFonts w:hint="default" w:ascii="Times New Roman" w:hAnsi="Times New Roman" w:eastAsia="仿宋_GB2312" w:cs="Times New Roman"/>
          <w:kern w:val="2"/>
          <w:sz w:val="32"/>
          <w:szCs w:val="32"/>
          <w:lang w:eastAsia="zh-CN"/>
        </w:rPr>
        <w:t>GB3096</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2008</w:t>
      </w: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类声环境功能区规定的区域；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w:t>
      </w:r>
      <w:r>
        <w:rPr>
          <w:rFonts w:hint="default" w:ascii="Times New Roman" w:hAnsi="Times New Roman" w:eastAsia="仿宋_GB2312" w:cs="Times New Roman"/>
          <w:kern w:val="2"/>
          <w:sz w:val="32"/>
          <w:szCs w:val="32"/>
          <w:lang w:eastAsia="zh-CN"/>
        </w:rPr>
        <w:t>Ⅱ</w:t>
      </w:r>
      <w:r>
        <w:rPr>
          <w:rFonts w:hint="eastAsia" w:ascii="仿宋_GB2312" w:hAnsi="仿宋_GB2312" w:eastAsia="仿宋_GB2312" w:cs="仿宋_GB2312"/>
          <w:kern w:val="2"/>
          <w:sz w:val="32"/>
          <w:szCs w:val="32"/>
          <w:lang w:eastAsia="zh-CN"/>
        </w:rPr>
        <w:t>类用地占地率大于</w:t>
      </w:r>
      <w:r>
        <w:rPr>
          <w:rFonts w:hint="eastAsia" w:ascii="Times New Roman" w:hAnsi="Times New Roman" w:eastAsia="仿宋_GB2312" w:cs="Times New Roman"/>
          <w:kern w:val="2"/>
          <w:sz w:val="32"/>
          <w:szCs w:val="32"/>
          <w:lang w:eastAsia="zh-CN"/>
        </w:rPr>
        <w:t>70%（</w:t>
      </w:r>
      <w:r>
        <w:rPr>
          <w:rFonts w:hint="eastAsia" w:ascii="仿宋_GB2312" w:hAnsi="仿宋_GB2312" w:eastAsia="仿宋_GB2312" w:cs="仿宋_GB2312"/>
          <w:kern w:val="2"/>
          <w:sz w:val="32"/>
          <w:szCs w:val="32"/>
          <w:lang w:eastAsia="zh-CN"/>
        </w:rPr>
        <w:t>含</w:t>
      </w:r>
      <w:r>
        <w:rPr>
          <w:rFonts w:hint="eastAsia" w:ascii="Times New Roman" w:hAnsi="Times New Roman" w:eastAsia="仿宋_GB2312" w:cs="Times New Roman"/>
          <w:kern w:val="2"/>
          <w:sz w:val="32"/>
          <w:szCs w:val="32"/>
          <w:lang w:eastAsia="zh-CN"/>
        </w:rPr>
        <w:t>70%）</w:t>
      </w:r>
      <w:r>
        <w:rPr>
          <w:rFonts w:hint="eastAsia" w:ascii="仿宋_GB2312" w:hAnsi="仿宋_GB2312" w:eastAsia="仿宋_GB2312" w:cs="仿宋_GB2312"/>
          <w:kern w:val="2"/>
          <w:sz w:val="32"/>
          <w:szCs w:val="32"/>
          <w:lang w:eastAsia="zh-CN"/>
        </w:rPr>
        <w:t>的混合用地区域。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（六）</w:t>
      </w:r>
      <w:r>
        <w:rPr>
          <w:rFonts w:hint="default" w:ascii="Times New Roman" w:hAnsi="Times New Roman" w:eastAsia="楷体_GB2312" w:cs="Times New Roman"/>
          <w:kern w:val="2"/>
          <w:sz w:val="32"/>
          <w:szCs w:val="32"/>
          <w:lang w:eastAsia="zh-CN"/>
        </w:rPr>
        <w:t>4a</w:t>
      </w:r>
      <w:r>
        <w:rPr>
          <w:rFonts w:hint="eastAsia" w:ascii="楷体_GB2312" w:hAnsi="楷体_GB2312" w:eastAsia="楷体_GB2312" w:cs="楷体_GB2312"/>
          <w:kern w:val="2"/>
          <w:sz w:val="32"/>
          <w:szCs w:val="32"/>
          <w:lang w:eastAsia="zh-CN"/>
        </w:rPr>
        <w:t>类声环境功能区划分</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将交通干线边界线外一定距离内的区域划分为</w:t>
      </w:r>
      <w:r>
        <w:rPr>
          <w:rFonts w:hint="eastAsia" w:ascii="Times New Roman" w:hAnsi="Times New Roman" w:eastAsia="楷体_GB2312" w:cs="Times New Roman"/>
          <w:kern w:val="2"/>
          <w:sz w:val="32"/>
          <w:szCs w:val="32"/>
          <w:lang w:eastAsia="zh-CN"/>
        </w:rPr>
        <w:t>4a</w:t>
      </w:r>
      <w:r>
        <w:rPr>
          <w:rFonts w:hint="eastAsia" w:ascii="仿宋_GB2312" w:hAnsi="仿宋_GB2312" w:eastAsia="仿宋_GB2312" w:cs="仿宋_GB2312"/>
          <w:kern w:val="2"/>
          <w:sz w:val="32"/>
          <w:szCs w:val="32"/>
          <w:lang w:eastAsia="zh-CN"/>
        </w:rPr>
        <w:t>类声环境功能区。距离的确定方法见表</w:t>
      </w:r>
      <w:r>
        <w:rPr>
          <w:rFonts w:hint="eastAsia" w:ascii="Times New Roman" w:hAnsi="Times New Roman" w:eastAsia="楷体_GB2312" w:cs="Times New Roman"/>
          <w:kern w:val="2"/>
          <w:sz w:val="32"/>
          <w:szCs w:val="32"/>
          <w:lang w:eastAsia="zh-CN"/>
        </w:rPr>
        <w:t>2。</w:t>
      </w:r>
    </w:p>
    <w:p>
      <w:pPr>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b w:val="0"/>
          <w:bCs w:val="0"/>
          <w:kern w:val="2"/>
          <w:sz w:val="32"/>
          <w:szCs w:val="32"/>
          <w:lang w:eastAsia="zh-CN"/>
        </w:rPr>
      </w:pPr>
      <w:r>
        <w:rPr>
          <w:rFonts w:hint="eastAsia" w:ascii="黑体" w:hAnsi="黑体" w:eastAsia="黑体" w:cs="黑体"/>
          <w:b w:val="0"/>
          <w:bCs w:val="0"/>
          <w:kern w:val="2"/>
          <w:sz w:val="32"/>
          <w:szCs w:val="32"/>
          <w:lang w:eastAsia="zh-CN"/>
        </w:rPr>
        <w:t>表</w:t>
      </w:r>
      <w:r>
        <w:rPr>
          <w:rFonts w:hint="default" w:ascii="Times New Roman" w:hAnsi="Times New Roman" w:eastAsia="黑体" w:cs="Times New Roman"/>
          <w:b w:val="0"/>
          <w:bCs w:val="0"/>
          <w:kern w:val="2"/>
          <w:sz w:val="32"/>
          <w:szCs w:val="32"/>
          <w:lang w:eastAsia="zh-CN"/>
        </w:rPr>
        <w:t>2</w:t>
      </w:r>
      <w:r>
        <w:rPr>
          <w:rFonts w:hint="eastAsia" w:ascii="黑体" w:hAnsi="黑体" w:eastAsia="黑体" w:cs="黑体"/>
          <w:b w:val="0"/>
          <w:bCs w:val="0"/>
          <w:kern w:val="2"/>
          <w:sz w:val="32"/>
          <w:szCs w:val="32"/>
          <w:lang w:eastAsia="zh-CN"/>
        </w:rPr>
        <w:t xml:space="preserve"> 交通干线（边界）相邻</w:t>
      </w:r>
      <w:r>
        <w:rPr>
          <w:rFonts w:hint="default" w:ascii="Times New Roman" w:hAnsi="Times New Roman" w:eastAsia="黑体" w:cs="Times New Roman"/>
          <w:b w:val="0"/>
          <w:bCs w:val="0"/>
          <w:kern w:val="2"/>
          <w:sz w:val="32"/>
          <w:szCs w:val="32"/>
          <w:lang w:eastAsia="zh-CN"/>
        </w:rPr>
        <w:t>4</w:t>
      </w:r>
      <w:r>
        <w:rPr>
          <w:rFonts w:hint="eastAsia" w:ascii="黑体" w:hAnsi="黑体" w:eastAsia="黑体" w:cs="黑体"/>
          <w:b w:val="0"/>
          <w:bCs w:val="0"/>
          <w:kern w:val="2"/>
          <w:sz w:val="32"/>
          <w:szCs w:val="32"/>
          <w:lang w:eastAsia="zh-CN"/>
        </w:rPr>
        <w:t>类声功能区距离的确定</w:t>
      </w:r>
    </w:p>
    <w:tbl>
      <w:tblPr>
        <w:tblStyle w:val="18"/>
        <w:tblW w:w="502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63"/>
        <w:gridCol w:w="2694"/>
        <w:gridCol w:w="2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kern w:val="2"/>
                <w:sz w:val="32"/>
                <w:szCs w:val="32"/>
                <w:lang w:eastAsia="zh-CN"/>
              </w:rPr>
            </w:pPr>
            <w:r>
              <w:rPr>
                <w:rFonts w:hint="eastAsia" w:ascii="仿宋_GB2312" w:hAnsi="仿宋_GB2312" w:eastAsia="仿宋_GB2312" w:cs="仿宋_GB2312"/>
                <w:b/>
                <w:bCs/>
                <w:kern w:val="2"/>
                <w:sz w:val="32"/>
                <w:szCs w:val="32"/>
                <w:lang w:eastAsia="zh-CN"/>
              </w:rPr>
              <w:t>源强类型</w:t>
            </w: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kern w:val="2"/>
                <w:sz w:val="32"/>
                <w:szCs w:val="32"/>
                <w:lang w:eastAsia="zh-CN"/>
              </w:rPr>
            </w:pPr>
            <w:r>
              <w:rPr>
                <w:rFonts w:hint="eastAsia" w:ascii="仿宋_GB2312" w:hAnsi="仿宋_GB2312" w:eastAsia="仿宋_GB2312" w:cs="仿宋_GB2312"/>
                <w:b/>
                <w:bCs/>
                <w:kern w:val="2"/>
                <w:sz w:val="32"/>
                <w:szCs w:val="32"/>
                <w:lang w:eastAsia="zh-CN"/>
              </w:rPr>
              <w:t>划分距离（m）</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bCs/>
                <w:kern w:val="2"/>
                <w:sz w:val="32"/>
                <w:szCs w:val="32"/>
                <w:lang w:eastAsia="zh-CN"/>
              </w:rPr>
            </w:pPr>
            <w:r>
              <w:rPr>
                <w:rFonts w:hint="eastAsia" w:ascii="仿宋_GB2312" w:hAnsi="仿宋_GB2312" w:eastAsia="仿宋_GB2312" w:cs="仿宋_GB2312"/>
                <w:b/>
                <w:bCs/>
                <w:kern w:val="2"/>
                <w:sz w:val="32"/>
                <w:szCs w:val="32"/>
                <w:lang w:eastAsia="zh-CN"/>
              </w:rPr>
              <w:t>相邻功能区类型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799" w:type="pct"/>
            <w:vMerge w:val="restar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高速公路、城市快速路、城市轨道交通（地面段）、铁路</w:t>
            </w: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55</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1类区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continue"/>
            <w:vAlign w:val="center"/>
          </w:tcPr>
          <w:p>
            <w:pPr>
              <w:pStyle w:val="41"/>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kern w:val="2"/>
                <w:sz w:val="32"/>
                <w:szCs w:val="32"/>
              </w:rPr>
            </w:pP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40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2类区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continue"/>
            <w:vAlign w:val="center"/>
          </w:tcPr>
          <w:p>
            <w:pPr>
              <w:pStyle w:val="41"/>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kern w:val="2"/>
                <w:sz w:val="32"/>
                <w:szCs w:val="32"/>
              </w:rPr>
            </w:pP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25</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3类区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restar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城市主干路、一级公路</w:t>
            </w: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50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1类区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continue"/>
            <w:vAlign w:val="center"/>
          </w:tcPr>
          <w:p>
            <w:pPr>
              <w:pStyle w:val="41"/>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kern w:val="2"/>
                <w:sz w:val="32"/>
                <w:szCs w:val="32"/>
              </w:rPr>
            </w:pP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35</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2类区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continue"/>
            <w:vAlign w:val="center"/>
          </w:tcPr>
          <w:p>
            <w:pPr>
              <w:pStyle w:val="41"/>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kern w:val="2"/>
                <w:sz w:val="32"/>
                <w:szCs w:val="32"/>
              </w:rPr>
            </w:pP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20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3类区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restar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城市次干路、二级公路</w:t>
            </w: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45</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1类区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continue"/>
            <w:vAlign w:val="center"/>
          </w:tcPr>
          <w:p>
            <w:pPr>
              <w:pStyle w:val="41"/>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kern w:val="2"/>
                <w:sz w:val="32"/>
                <w:szCs w:val="32"/>
              </w:rPr>
            </w:pP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30</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2类区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99" w:type="pct"/>
            <w:vMerge w:val="continue"/>
            <w:vAlign w:val="center"/>
          </w:tcPr>
          <w:p>
            <w:pPr>
              <w:pStyle w:val="41"/>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kern w:val="2"/>
                <w:sz w:val="32"/>
                <w:szCs w:val="32"/>
              </w:rPr>
            </w:pPr>
          </w:p>
        </w:tc>
        <w:tc>
          <w:tcPr>
            <w:tcW w:w="1532"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15</w:t>
            </w:r>
          </w:p>
        </w:tc>
        <w:tc>
          <w:tcPr>
            <w:tcW w:w="1667" w:type="pct"/>
            <w:vAlign w:val="center"/>
          </w:tcPr>
          <w:p>
            <w:pPr>
              <w:pStyle w:val="41"/>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3类区</w:t>
            </w:r>
          </w:p>
        </w:tc>
      </w:tr>
    </w:tbl>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当临街建筑高于三层楼房以上（含三层）时，将临街建筑面向交通干线一侧至交通干线边界线的区域（见表</w:t>
      </w:r>
      <w:r>
        <w:rPr>
          <w:rFonts w:hint="default"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）定为</w:t>
      </w:r>
      <w:r>
        <w:rPr>
          <w:rFonts w:hint="default" w:ascii="Times New Roman" w:hAnsi="Times New Roman" w:eastAsia="仿宋_GB2312" w:cs="Times New Roman"/>
          <w:kern w:val="2"/>
          <w:sz w:val="32"/>
          <w:szCs w:val="32"/>
          <w:lang w:eastAsia="zh-CN"/>
        </w:rPr>
        <w:t>4a</w:t>
      </w:r>
      <w:r>
        <w:rPr>
          <w:rFonts w:hint="eastAsia" w:ascii="仿宋_GB2312" w:hAnsi="仿宋_GB2312" w:eastAsia="仿宋_GB2312" w:cs="仿宋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（七）</w:t>
      </w:r>
      <w:r>
        <w:rPr>
          <w:rFonts w:hint="default" w:ascii="Times New Roman" w:hAnsi="Times New Roman" w:eastAsia="楷体_GB2312" w:cs="Times New Roman"/>
          <w:kern w:val="2"/>
          <w:sz w:val="32"/>
          <w:szCs w:val="32"/>
          <w:lang w:eastAsia="zh-CN"/>
        </w:rPr>
        <w:t>4b</w:t>
      </w:r>
      <w:r>
        <w:rPr>
          <w:rFonts w:hint="eastAsia" w:ascii="楷体_GB2312" w:hAnsi="楷体_GB2312" w:eastAsia="楷体_GB2312" w:cs="楷体_GB2312"/>
          <w:kern w:val="2"/>
          <w:sz w:val="32"/>
          <w:szCs w:val="32"/>
          <w:lang w:eastAsia="zh-CN"/>
        </w:rPr>
        <w:t>类声环境功能区划分</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交通干线边界线外一定距离以内的区域划为</w:t>
      </w:r>
      <w:r>
        <w:rPr>
          <w:rFonts w:hint="eastAsia" w:ascii="Times New Roman" w:hAnsi="Times New Roman" w:eastAsia="仿宋_GB2312" w:cs="Times New Roman"/>
          <w:kern w:val="2"/>
          <w:sz w:val="32"/>
          <w:szCs w:val="32"/>
          <w:lang w:eastAsia="zh-CN"/>
        </w:rPr>
        <w:t>4b</w:t>
      </w:r>
      <w:r>
        <w:rPr>
          <w:rFonts w:hint="eastAsia" w:ascii="仿宋_GB2312" w:hAnsi="仿宋_GB2312" w:eastAsia="仿宋_GB2312" w:cs="仿宋_GB2312"/>
          <w:kern w:val="2"/>
          <w:sz w:val="32"/>
          <w:szCs w:val="32"/>
          <w:lang w:eastAsia="zh-CN"/>
        </w:rPr>
        <w:t>类声环境功能区。距离的确定方法同</w:t>
      </w:r>
      <w:r>
        <w:rPr>
          <w:rFonts w:hint="eastAsia" w:ascii="Times New Roman" w:hAnsi="Times New Roman" w:eastAsia="仿宋_GB2312" w:cs="Times New Roman"/>
          <w:kern w:val="2"/>
          <w:sz w:val="32"/>
          <w:szCs w:val="32"/>
          <w:lang w:eastAsia="zh-CN"/>
        </w:rPr>
        <w:t>4a</w:t>
      </w:r>
      <w:r>
        <w:rPr>
          <w:rFonts w:hint="eastAsia" w:ascii="仿宋_GB2312" w:hAnsi="仿宋_GB2312" w:eastAsia="仿宋_GB2312" w:cs="仿宋_GB2312"/>
          <w:kern w:val="2"/>
          <w:sz w:val="32"/>
          <w:szCs w:val="32"/>
          <w:lang w:eastAsia="zh-CN"/>
        </w:rPr>
        <w:t>类声环境功能区。距离的确定方法见表</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（八）乡村声环境功能区的确定</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对于本次功能区划工作中未涉及到的乡镇、村庄等区域，根据《声环境质量标准》（</w:t>
      </w:r>
      <w:r>
        <w:rPr>
          <w:rFonts w:hint="default" w:ascii="Times New Roman" w:hAnsi="Times New Roman" w:eastAsia="仿宋_GB2312" w:cs="Times New Roman"/>
          <w:kern w:val="2"/>
          <w:sz w:val="32"/>
          <w:szCs w:val="32"/>
          <w:lang w:eastAsia="zh-CN"/>
        </w:rPr>
        <w:t>GB3096</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2008</w:t>
      </w:r>
      <w:r>
        <w:rPr>
          <w:rFonts w:hint="eastAsia" w:ascii="仿宋_GB2312" w:hAnsi="仿宋_GB2312" w:eastAsia="仿宋_GB2312" w:cs="仿宋_GB2312"/>
          <w:kern w:val="2"/>
          <w:sz w:val="32"/>
          <w:szCs w:val="32"/>
          <w:lang w:eastAsia="zh-CN"/>
        </w:rPr>
        <w:t>）的相关规定：乡村区域一般不划分声环境功能区，根据环境管理的需要，由县级以上人民政府环境保护行政主管部门可按以下要求确定乡村区域适用的声环境质量要求：</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.位于乡村的康复疗养区执行</w:t>
      </w:r>
      <w:r>
        <w:rPr>
          <w:rFonts w:hint="eastAsia" w:ascii="Times New Roman" w:hAnsi="Times New Roman" w:eastAsia="仿宋_GB2312" w:cs="Times New Roman"/>
          <w:kern w:val="2"/>
          <w:sz w:val="32"/>
          <w:szCs w:val="32"/>
          <w:lang w:eastAsia="zh-CN"/>
        </w:rPr>
        <w:t>0</w:t>
      </w:r>
      <w:r>
        <w:rPr>
          <w:rFonts w:hint="eastAsia" w:ascii="仿宋_GB2312" w:hAnsi="仿宋_GB2312" w:eastAsia="仿宋_GB2312" w:cs="仿宋_GB2312"/>
          <w:kern w:val="2"/>
          <w:sz w:val="32"/>
          <w:szCs w:val="32"/>
          <w:lang w:eastAsia="zh-CN"/>
        </w:rPr>
        <w:t>类声环境功能区要求；</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.村庄原则上执行</w:t>
      </w:r>
      <w:r>
        <w:rPr>
          <w:rFonts w:hint="eastAsia"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类声环境功能区要求，工业活动较多的村庄以及由交通干线经过的村庄（指执行</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类声环境功能区要求以外的地区）可局部或全部执行</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类声环境功能区要求；</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.集镇执行</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类声环境功能区要求；</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.独立于村庄、集镇之外的工业、仓储集中区执行</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类声环境功能区要求；</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5</w:t>
      </w:r>
      <w:r>
        <w:rPr>
          <w:rFonts w:hint="eastAsia" w:ascii="仿宋_GB2312" w:hAnsi="仿宋_GB2312" w:eastAsia="仿宋_GB2312" w:cs="仿宋_GB2312"/>
          <w:kern w:val="2"/>
          <w:sz w:val="32"/>
          <w:szCs w:val="32"/>
          <w:lang w:eastAsia="zh-CN"/>
        </w:rPr>
        <w:t>.位于交通干线两侧一定距离（参考</w:t>
      </w:r>
      <w:r>
        <w:rPr>
          <w:rFonts w:hint="eastAsia" w:ascii="Times New Roman" w:hAnsi="Times New Roman" w:eastAsia="仿宋_GB2312" w:cs="Times New Roman"/>
          <w:kern w:val="2"/>
          <w:sz w:val="32"/>
          <w:szCs w:val="32"/>
          <w:lang w:eastAsia="zh-CN"/>
        </w:rPr>
        <w:t>GB/T15190-2014</w:t>
      </w:r>
      <w:r>
        <w:rPr>
          <w:rFonts w:hint="eastAsia" w:ascii="仿宋_GB2312" w:hAnsi="仿宋_GB2312" w:eastAsia="仿宋_GB2312" w:cs="仿宋_GB2312"/>
          <w:kern w:val="2"/>
          <w:sz w:val="32"/>
          <w:szCs w:val="32"/>
          <w:lang w:eastAsia="zh-CN"/>
        </w:rPr>
        <w:t>第</w:t>
      </w:r>
      <w:r>
        <w:rPr>
          <w:rFonts w:hint="eastAsia" w:ascii="Times New Roman" w:hAnsi="Times New Roman" w:eastAsia="仿宋_GB2312" w:cs="Times New Roman"/>
          <w:kern w:val="2"/>
          <w:sz w:val="32"/>
          <w:szCs w:val="32"/>
          <w:lang w:eastAsia="zh-CN"/>
        </w:rPr>
        <w:t>8.3</w:t>
      </w:r>
      <w:r>
        <w:rPr>
          <w:rFonts w:hint="eastAsia" w:ascii="仿宋_GB2312" w:hAnsi="仿宋_GB2312" w:eastAsia="仿宋_GB2312" w:cs="仿宋_GB2312"/>
          <w:kern w:val="2"/>
          <w:sz w:val="32"/>
          <w:szCs w:val="32"/>
          <w:lang w:eastAsia="zh-CN"/>
        </w:rPr>
        <w:t>条规定）内的噪声敏感建筑物执行</w:t>
      </w:r>
      <w:r>
        <w:rPr>
          <w:rFonts w:hint="default"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类声环境功能区要求。</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（九）其它规定</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1.3</w:t>
      </w:r>
      <w:r>
        <w:rPr>
          <w:rFonts w:hint="eastAsia" w:ascii="仿宋_GB2312" w:hAnsi="仿宋_GB2312" w:eastAsia="仿宋_GB2312" w:cs="仿宋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位于各类工业区控制性详细规划范围，总体上划定为</w:t>
      </w:r>
      <w:r>
        <w:rPr>
          <w:rFonts w:hint="default"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类声环境功能区的，在下列情况下执行</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类声环境功能区标准：</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w:t>
      </w: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）规划为工业用地，但尚未开发建设，且仍有敏感目标的区域；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）现状为学校、医院、住宅、机关、公园、宾馆、会所等噪声敏感区域；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）开发区详细规划确定为非工业用地的区域；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）以商务办公、软件研发等为主的非生产区域（除工业地产外）。</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2.4</w:t>
      </w:r>
      <w:r>
        <w:rPr>
          <w:rFonts w:hint="eastAsia" w:ascii="仿宋_GB2312" w:hAnsi="仿宋_GB2312" w:eastAsia="仿宋_GB2312" w:cs="仿宋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w:t>
      </w:r>
      <w:r>
        <w:rPr>
          <w:rFonts w:hint="default"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）对于规划未建成的高速公路、城市快速路、城市轨道交通（地面段）、城市主干路、城市次干路、铁路，建成后在向生态环境部门备案后，相应划分到</w:t>
      </w:r>
      <w:r>
        <w:rPr>
          <w:rFonts w:hint="eastAsia" w:ascii="Times New Roman" w:hAnsi="Times New Roman" w:eastAsia="仿宋_GB2312" w:cs="Times New Roman"/>
          <w:kern w:val="2"/>
          <w:sz w:val="32"/>
          <w:szCs w:val="32"/>
          <w:lang w:eastAsia="zh-CN"/>
        </w:rPr>
        <w:t>4a/4b</w:t>
      </w:r>
      <w:r>
        <w:rPr>
          <w:rFonts w:hint="eastAsia" w:ascii="仿宋_GB2312" w:hAnsi="仿宋_GB2312" w:eastAsia="仿宋_GB2312" w:cs="仿宋_GB2312"/>
          <w:kern w:val="2"/>
          <w:sz w:val="32"/>
          <w:szCs w:val="32"/>
          <w:lang w:eastAsia="zh-CN"/>
        </w:rPr>
        <w:t>类声环境功能区，并执行相应标准；</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）划分</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类声环境功能区时，不同的道路、不同的路段、同路段的两侧及道路的同侧其距离可以不统一；</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）城市轨道交通（地面）场站、公交枢纽、高速公路服务区等具有一定规模的交通服务区域，划定为</w:t>
      </w:r>
      <w:r>
        <w:rPr>
          <w:rFonts w:hint="eastAsia" w:ascii="Times New Roman" w:hAnsi="Times New Roman" w:eastAsia="仿宋_GB2312" w:cs="Times New Roman"/>
          <w:kern w:val="2"/>
          <w:sz w:val="32"/>
          <w:szCs w:val="32"/>
          <w:lang w:eastAsia="zh-CN"/>
        </w:rPr>
        <w:t>4a</w:t>
      </w:r>
      <w:r>
        <w:rPr>
          <w:rFonts w:hint="eastAsia" w:ascii="仿宋_GB2312" w:hAnsi="仿宋_GB2312" w:eastAsia="仿宋_GB2312" w:cs="仿宋_GB2312"/>
          <w:kern w:val="2"/>
          <w:sz w:val="32"/>
          <w:szCs w:val="32"/>
          <w:lang w:eastAsia="zh-CN"/>
        </w:rPr>
        <w:t>类声环境功能区；铁路交通场站划定为</w:t>
      </w:r>
      <w:r>
        <w:rPr>
          <w:rFonts w:hint="eastAsia" w:ascii="Times New Roman" w:hAnsi="Times New Roman" w:eastAsia="仿宋_GB2312" w:cs="Times New Roman"/>
          <w:kern w:val="2"/>
          <w:sz w:val="32"/>
          <w:szCs w:val="32"/>
          <w:lang w:eastAsia="zh-CN"/>
        </w:rPr>
        <w:t>4b</w:t>
      </w:r>
      <w:r>
        <w:rPr>
          <w:rFonts w:hint="eastAsia" w:ascii="仿宋_GB2312" w:hAnsi="仿宋_GB2312" w:eastAsia="仿宋_GB2312" w:cs="仿宋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.大型公园、风景旅游区和纪念馆等区划为</w:t>
      </w:r>
      <w:r>
        <w:rPr>
          <w:rFonts w:hint="eastAsia" w:ascii="Times New Roman" w:hAnsi="Times New Roman" w:eastAsia="仿宋_GB2312" w:cs="Times New Roman"/>
          <w:kern w:val="2"/>
          <w:sz w:val="32"/>
          <w:szCs w:val="32"/>
          <w:lang w:eastAsia="zh-CN"/>
        </w:rPr>
        <w:t>1</w:t>
      </w:r>
      <w:r>
        <w:rPr>
          <w:rFonts w:hint="eastAsia" w:ascii="仿宋_GB2312" w:hAnsi="仿宋_GB2312" w:eastAsia="仿宋_GB2312" w:cs="仿宋_GB2312"/>
          <w:kern w:val="2"/>
          <w:sz w:val="32"/>
          <w:szCs w:val="32"/>
          <w:lang w:eastAsia="zh-CN"/>
        </w:rPr>
        <w:t>类标准适用区域；</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.大型工业区中的生活小区，根据其与生产现场的距离和环境噪声现状水平，可从工业区中划出，定为</w:t>
      </w:r>
      <w:r>
        <w:rPr>
          <w:rFonts w:hint="eastAsia" w:ascii="Times New Roman" w:hAnsi="Times New Roman" w:eastAsia="仿宋_GB2312" w:cs="Times New Roman"/>
          <w:kern w:val="2"/>
          <w:sz w:val="32"/>
          <w:szCs w:val="32"/>
          <w:lang w:eastAsia="zh-CN"/>
        </w:rPr>
        <w:t>2</w:t>
      </w:r>
      <w:r>
        <w:rPr>
          <w:rFonts w:hint="eastAsia" w:ascii="仿宋_GB2312" w:hAnsi="仿宋_GB2312" w:eastAsia="仿宋_GB2312" w:cs="仿宋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5</w:t>
      </w:r>
      <w:r>
        <w:rPr>
          <w:rFonts w:hint="eastAsia" w:ascii="仿宋_GB2312" w:hAnsi="仿宋_GB2312" w:eastAsia="仿宋_GB2312" w:cs="仿宋_GB2312"/>
          <w:kern w:val="2"/>
          <w:sz w:val="32"/>
          <w:szCs w:val="32"/>
          <w:lang w:eastAsia="zh-CN"/>
        </w:rPr>
        <w:t>.各类区域之间不划过渡地带；</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Times New Roman" w:hAnsi="Times New Roman" w:eastAsia="仿宋_GB2312" w:cs="Times New Roman"/>
          <w:kern w:val="2"/>
          <w:sz w:val="32"/>
          <w:szCs w:val="32"/>
          <w:lang w:eastAsia="zh-CN"/>
        </w:rPr>
        <w:t>6</w:t>
      </w:r>
      <w:r>
        <w:rPr>
          <w:rFonts w:hint="eastAsia" w:ascii="仿宋_GB2312" w:hAnsi="仿宋_GB2312" w:eastAsia="仿宋_GB2312" w:cs="仿宋_GB2312"/>
          <w:kern w:val="2"/>
          <w:sz w:val="32"/>
          <w:szCs w:val="32"/>
          <w:lang w:eastAsia="zh-CN"/>
        </w:rPr>
        <w:t>.在已划定声环境功能区内新建的交通干线，应确保隔声降噪措施，维持用地的区划类别现状；若确实导致区域声环境质量现状与区划目标相差太大，可在城市规划逐步完善的前提下，按要求对新建交通干线区域划分为</w:t>
      </w:r>
      <w:r>
        <w:rPr>
          <w:rFonts w:hint="eastAsia" w:ascii="Times New Roman" w:hAnsi="Times New Roman" w:eastAsia="仿宋_GB2312" w:cs="Times New Roman"/>
          <w:kern w:val="2"/>
          <w:sz w:val="32"/>
          <w:szCs w:val="32"/>
          <w:lang w:eastAsia="zh-CN"/>
        </w:rPr>
        <w:t>4a</w:t>
      </w:r>
      <w:r>
        <w:rPr>
          <w:rFonts w:hint="eastAsia" w:ascii="仿宋_GB2312" w:hAnsi="仿宋_GB2312" w:eastAsia="仿宋_GB2312" w:cs="仿宋_GB2312"/>
          <w:kern w:val="2"/>
          <w:sz w:val="32"/>
          <w:szCs w:val="32"/>
          <w:lang w:eastAsia="zh-CN"/>
        </w:rPr>
        <w:t>类</w:t>
      </w:r>
      <w:r>
        <w:rPr>
          <w:rFonts w:hint="eastAsia" w:ascii="Times New Roman" w:hAnsi="Times New Roman" w:eastAsia="仿宋_GB2312" w:cs="Times New Roman"/>
          <w:kern w:val="2"/>
          <w:sz w:val="32"/>
          <w:szCs w:val="32"/>
          <w:lang w:eastAsia="zh-CN"/>
        </w:rPr>
        <w:t>或4b</w:t>
      </w:r>
      <w:r>
        <w:rPr>
          <w:rFonts w:hint="eastAsia" w:ascii="仿宋_GB2312" w:hAnsi="仿宋_GB2312" w:eastAsia="仿宋_GB2312" w:cs="仿宋_GB2312"/>
          <w:kern w:val="2"/>
          <w:sz w:val="32"/>
          <w:szCs w:val="32"/>
          <w:lang w:eastAsia="zh-CN"/>
        </w:rPr>
        <w:t>类声环境功能区；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7</w:t>
      </w:r>
      <w:r>
        <w:rPr>
          <w:rFonts w:hint="eastAsia" w:ascii="仿宋_GB2312" w:hAnsi="仿宋_GB2312" w:eastAsia="仿宋_GB2312" w:cs="仿宋_GB2312"/>
          <w:kern w:val="2"/>
          <w:sz w:val="32"/>
          <w:szCs w:val="32"/>
          <w:lang w:eastAsia="zh-CN"/>
        </w:rPr>
        <w:t>.近期内区域功能与规划目标相差较大的区域，以用地现状作为区划的主要依据；随着城市规划的逐步实现，及时调整声环境功能区；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8</w:t>
      </w:r>
      <w:r>
        <w:rPr>
          <w:rFonts w:hint="eastAsia" w:ascii="仿宋_GB2312" w:hAnsi="仿宋_GB2312" w:eastAsia="仿宋_GB2312" w:cs="仿宋_GB2312"/>
          <w:kern w:val="2"/>
          <w:sz w:val="32"/>
          <w:szCs w:val="32"/>
          <w:lang w:eastAsia="zh-CN"/>
        </w:rPr>
        <w:t>.未建成的规划区内，按其规划性质或按区域声环境质量现状，结合可能的发展划定区域类型。</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2"/>
          <w:sz w:val="32"/>
          <w:szCs w:val="32"/>
          <w:lang w:eastAsia="zh-CN"/>
        </w:rPr>
      </w:pPr>
      <w:bookmarkStart w:id="357" w:name="_Toc5498"/>
      <w:r>
        <w:rPr>
          <w:rFonts w:hint="eastAsia" w:ascii="黑体" w:hAnsi="黑体" w:eastAsia="黑体" w:cs="黑体"/>
          <w:kern w:val="2"/>
          <w:sz w:val="32"/>
          <w:szCs w:val="32"/>
          <w:lang w:eastAsia="zh-CN"/>
        </w:rPr>
        <w:t>九、声环境功能</w:t>
      </w:r>
      <w:bookmarkEnd w:id="357"/>
      <w:r>
        <w:rPr>
          <w:rFonts w:hint="eastAsia" w:ascii="黑体" w:hAnsi="黑体" w:eastAsia="黑体" w:cs="黑体"/>
          <w:kern w:val="2"/>
          <w:sz w:val="32"/>
          <w:szCs w:val="32"/>
          <w:lang w:eastAsia="zh-CN"/>
        </w:rPr>
        <w:t>区划分结果</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郯城县县城规划建设区范围为：北至泰山路，南至南外环路，东至沭</w:t>
      </w:r>
      <w:r>
        <w:rPr>
          <w:rFonts w:hint="eastAsia" w:ascii="仿宋_GB2312" w:hAnsi="仿宋_GB2312" w:eastAsia="仿宋_GB2312" w:cs="仿宋_GB2312"/>
          <w:sz w:val="32"/>
          <w:szCs w:val="32"/>
          <w:lang w:eastAsia="zh-CN"/>
        </w:rPr>
        <w:t>河，西至围带河—白马河</w:t>
      </w:r>
      <w:r>
        <w:rPr>
          <w:rFonts w:hint="eastAsia" w:ascii="仿宋_GB2312" w:hAnsi="仿宋_GB2312" w:eastAsia="仿宋_GB2312" w:cs="仿宋_GB2312"/>
          <w:kern w:val="2"/>
          <w:sz w:val="32"/>
          <w:szCs w:val="32"/>
          <w:lang w:eastAsia="zh-CN"/>
        </w:rPr>
        <w:t>。县城规划建设区以外的其他区域主要以乡村、农田和发展备用地为主，按照</w:t>
      </w:r>
      <w:r>
        <w:rPr>
          <w:rFonts w:hint="default" w:ascii="Times New Roman" w:hAnsi="Times New Roman" w:eastAsia="仿宋_GB2312" w:cs="Times New Roman"/>
          <w:kern w:val="2"/>
          <w:sz w:val="32"/>
          <w:szCs w:val="32"/>
          <w:lang w:eastAsia="zh-CN"/>
        </w:rPr>
        <w:t>GB3096</w:t>
      </w:r>
      <w:r>
        <w:rPr>
          <w:rFonts w:hint="eastAsia" w:ascii="仿宋_GB2312" w:hAnsi="仿宋_GB2312" w:eastAsia="仿宋_GB2312" w:cs="仿宋_GB2312"/>
          <w:kern w:val="2"/>
          <w:sz w:val="32"/>
          <w:szCs w:val="32"/>
          <w:lang w:eastAsia="zh-CN"/>
        </w:rPr>
        <w:t>要求不划分声环境功能区，按照其他区域执行标准确定声环境功能。因此本次声环境功能区划范围为县城规划区范围。</w:t>
      </w:r>
    </w:p>
    <w:p>
      <w:pPr>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依据《郯城县城市总体规划（</w:t>
      </w:r>
      <w:r>
        <w:rPr>
          <w:rFonts w:hint="eastAsia" w:ascii="Times New Roman" w:hAnsi="Times New Roman" w:eastAsia="仿宋_GB2312" w:cs="Times New Roman"/>
          <w:kern w:val="2"/>
          <w:sz w:val="32"/>
          <w:szCs w:val="32"/>
          <w:lang w:eastAsia="zh-CN"/>
        </w:rPr>
        <w:t>2010-2025</w:t>
      </w:r>
      <w:r>
        <w:rPr>
          <w:rFonts w:hint="eastAsia" w:ascii="仿宋_GB2312" w:hAnsi="仿宋_GB2312" w:eastAsia="仿宋_GB2312" w:cs="仿宋_GB2312"/>
          <w:kern w:val="2"/>
          <w:sz w:val="32"/>
          <w:szCs w:val="32"/>
          <w:lang w:eastAsia="zh-CN"/>
        </w:rPr>
        <w:t>）》、《声环境质量标准》（</w:t>
      </w:r>
      <w:r>
        <w:rPr>
          <w:rFonts w:hint="eastAsia" w:ascii="Times New Roman" w:hAnsi="Times New Roman" w:eastAsia="仿宋_GB2312" w:cs="Times New Roman"/>
          <w:kern w:val="2"/>
          <w:sz w:val="32"/>
          <w:szCs w:val="32"/>
          <w:lang w:eastAsia="zh-CN"/>
        </w:rPr>
        <w:t>GB3096-2008</w:t>
      </w:r>
      <w:r>
        <w:rPr>
          <w:rFonts w:hint="eastAsia" w:ascii="仿宋_GB2312" w:hAnsi="仿宋_GB2312" w:eastAsia="仿宋_GB2312" w:cs="仿宋_GB2312"/>
          <w:kern w:val="2"/>
          <w:sz w:val="32"/>
          <w:szCs w:val="32"/>
          <w:lang w:eastAsia="zh-CN"/>
        </w:rPr>
        <w:t>）及《声环境功能区划分技术规范（</w:t>
      </w:r>
      <w:r>
        <w:rPr>
          <w:rFonts w:hint="eastAsia" w:ascii="Times New Roman" w:hAnsi="Times New Roman" w:eastAsia="仿宋_GB2312" w:cs="Times New Roman"/>
          <w:kern w:val="2"/>
          <w:sz w:val="32"/>
          <w:szCs w:val="32"/>
          <w:lang w:eastAsia="zh-CN"/>
        </w:rPr>
        <w:t>GB/T15190-2014</w:t>
      </w:r>
      <w:r>
        <w:rPr>
          <w:rFonts w:hint="eastAsia" w:ascii="仿宋_GB2312" w:hAnsi="仿宋_GB2312" w:eastAsia="仿宋_GB2312" w:cs="仿宋_GB2312"/>
          <w:kern w:val="2"/>
          <w:sz w:val="32"/>
          <w:szCs w:val="32"/>
          <w:lang w:eastAsia="zh-CN"/>
        </w:rPr>
        <w:t>）》，本次郯城县声环境功能区划分为</w:t>
      </w:r>
      <w:r>
        <w:rPr>
          <w:rFonts w:hint="eastAsia" w:ascii="Times New Roman" w:hAnsi="Times New Roman" w:eastAsia="仿宋_GB2312" w:cs="Times New Roman"/>
          <w:kern w:val="2"/>
          <w:sz w:val="32"/>
          <w:szCs w:val="32"/>
          <w:lang w:eastAsia="zh-CN"/>
        </w:rPr>
        <w:t>4</w:t>
      </w:r>
      <w:r>
        <w:rPr>
          <w:rFonts w:hint="eastAsia" w:ascii="仿宋_GB2312" w:hAnsi="仿宋_GB2312" w:eastAsia="仿宋_GB2312" w:cs="仿宋_GB2312"/>
          <w:kern w:val="2"/>
          <w:sz w:val="32"/>
          <w:szCs w:val="32"/>
          <w:lang w:eastAsia="zh-CN"/>
        </w:rPr>
        <w:t>类功能区。</w:t>
      </w:r>
    </w:p>
    <w:p>
      <w:pPr>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eastAsia="zh-CN"/>
        </w:rPr>
        <w:t>县城规划区</w:t>
      </w:r>
      <w:r>
        <w:rPr>
          <w:rFonts w:hint="eastAsia" w:ascii="仿宋_GB2312" w:hAnsi="仿宋_GB2312" w:eastAsia="仿宋_GB2312" w:cs="仿宋_GB2312"/>
          <w:sz w:val="32"/>
          <w:szCs w:val="32"/>
          <w:lang w:eastAsia="zh-CN"/>
        </w:rPr>
        <w:t>总面积</w:t>
      </w:r>
      <w:r>
        <w:rPr>
          <w:rFonts w:hint="eastAsia" w:ascii="Times New Roman" w:hAnsi="Times New Roman" w:eastAsia="仿宋_GB2312" w:cs="Times New Roman"/>
          <w:kern w:val="2"/>
          <w:sz w:val="32"/>
          <w:szCs w:val="32"/>
          <w:lang w:eastAsia="zh-CN"/>
        </w:rPr>
        <w:t>5</w:t>
      </w:r>
      <w:r>
        <w:rPr>
          <w:rFonts w:hint="default" w:ascii="Times New Roman" w:hAnsi="Times New Roman" w:eastAsia="仿宋_GB2312" w:cs="Times New Roman"/>
          <w:kern w:val="2"/>
          <w:sz w:val="32"/>
          <w:szCs w:val="32"/>
          <w:lang w:eastAsia="zh-CN"/>
        </w:rPr>
        <w:t>9</w:t>
      </w:r>
      <w:r>
        <w:rPr>
          <w:rFonts w:hint="default" w:ascii="Times New Roman" w:hAnsi="Times New Roman" w:eastAsia="仿宋_GB2312" w:cs="Times New Roman"/>
          <w:sz w:val="32"/>
          <w:szCs w:val="32"/>
          <w:lang w:eastAsia="zh-CN"/>
        </w:rPr>
        <w:t>km</w:t>
      </w:r>
      <w:r>
        <w:rPr>
          <w:rFonts w:hint="default" w:ascii="Times New Roman" w:hAnsi="Times New Roman" w:eastAsia="仿宋_GB2312" w:cs="Times New Roman"/>
          <w:sz w:val="32"/>
          <w:szCs w:val="32"/>
          <w:vertAlign w:val="superscript"/>
          <w:lang w:eastAsia="zh-CN"/>
        </w:rPr>
        <w:t>2</w:t>
      </w:r>
      <w:r>
        <w:rPr>
          <w:rFonts w:hint="eastAsia" w:ascii="仿宋_GB2312" w:hAnsi="仿宋_GB2312" w:eastAsia="仿宋_GB2312" w:cs="仿宋_GB2312"/>
          <w:sz w:val="32"/>
          <w:szCs w:val="32"/>
          <w:lang w:eastAsia="zh-CN"/>
        </w:rPr>
        <w:t>，道路占地面积</w:t>
      </w:r>
      <w:r>
        <w:rPr>
          <w:rFonts w:hint="eastAsia" w:ascii="Times New Roman" w:hAnsi="Times New Roman" w:eastAsia="仿宋_GB2312" w:cs="Times New Roman"/>
          <w:kern w:val="2"/>
          <w:sz w:val="32"/>
          <w:szCs w:val="32"/>
          <w:lang w:eastAsia="zh-CN"/>
        </w:rPr>
        <w:t>11.74km</w:t>
      </w:r>
      <w:r>
        <w:rPr>
          <w:rFonts w:hint="eastAsia" w:ascii="Times New Roman" w:hAnsi="Times New Roman" w:eastAsia="仿宋_GB2312" w:cs="Times New Roman"/>
          <w:kern w:val="2"/>
          <w:sz w:val="32"/>
          <w:szCs w:val="32"/>
          <w:vertAlign w:val="superscript"/>
          <w:lang w:eastAsia="zh-CN"/>
        </w:rPr>
        <w:t>2</w:t>
      </w:r>
      <w:r>
        <w:rPr>
          <w:rFonts w:hint="eastAsia" w:ascii="仿宋_GB2312" w:hAnsi="仿宋_GB2312" w:eastAsia="仿宋_GB2312" w:cs="仿宋_GB2312"/>
          <w:sz w:val="32"/>
          <w:szCs w:val="32"/>
          <w:lang w:eastAsia="zh-CN"/>
        </w:rPr>
        <w:t>，交通场站面积</w:t>
      </w:r>
      <w:r>
        <w:rPr>
          <w:rFonts w:hint="eastAsia" w:ascii="Times New Roman" w:hAnsi="Times New Roman" w:eastAsia="仿宋_GB2312" w:cs="Times New Roman"/>
          <w:kern w:val="2"/>
          <w:sz w:val="32"/>
          <w:szCs w:val="32"/>
          <w:lang w:eastAsia="zh-CN"/>
        </w:rPr>
        <w:t>为0.22km</w:t>
      </w:r>
      <w:r>
        <w:rPr>
          <w:rFonts w:hint="eastAsia" w:ascii="Times New Roman" w:hAnsi="Times New Roman" w:eastAsia="仿宋_GB2312" w:cs="Times New Roman"/>
          <w:kern w:val="2"/>
          <w:sz w:val="32"/>
          <w:szCs w:val="32"/>
          <w:vertAlign w:val="superscript"/>
          <w:lang w:eastAsia="zh-CN"/>
        </w:rPr>
        <w:t>2</w:t>
      </w:r>
      <w:r>
        <w:rPr>
          <w:rFonts w:hint="eastAsia" w:ascii="仿宋_GB2312" w:hAnsi="仿宋_GB2312" w:eastAsia="仿宋_GB2312" w:cs="仿宋_GB2312"/>
          <w:sz w:val="32"/>
          <w:szCs w:val="32"/>
          <w:lang w:eastAsia="zh-CN"/>
        </w:rPr>
        <w:t>，其余</w:t>
      </w:r>
      <w:r>
        <w:rPr>
          <w:rFonts w:hint="default" w:ascii="Times New Roman" w:hAnsi="Times New Roman" w:eastAsia="仿宋_GB2312" w:cs="Times New Roman"/>
          <w:sz w:val="32"/>
          <w:szCs w:val="32"/>
          <w:lang w:eastAsia="zh-CN"/>
        </w:rPr>
        <w:t>1-3</w:t>
      </w:r>
      <w:r>
        <w:rPr>
          <w:rFonts w:hint="eastAsia" w:ascii="仿宋_GB2312" w:hAnsi="仿宋_GB2312" w:eastAsia="仿宋_GB2312" w:cs="仿宋_GB2312"/>
          <w:sz w:val="32"/>
          <w:szCs w:val="32"/>
          <w:lang w:eastAsia="zh-CN"/>
        </w:rPr>
        <w:t>类功能区规划区总面积</w:t>
      </w:r>
      <w:r>
        <w:rPr>
          <w:rFonts w:hint="default" w:ascii="Times New Roman" w:hAnsi="Times New Roman" w:eastAsia="仿宋_GB2312" w:cs="Times New Roman"/>
          <w:kern w:val="2"/>
          <w:sz w:val="32"/>
          <w:szCs w:val="32"/>
          <w:lang w:eastAsia="zh-CN"/>
        </w:rPr>
        <w:t>47.04</w:t>
      </w:r>
      <w:r>
        <w:rPr>
          <w:rFonts w:hint="eastAsia" w:ascii="Times New Roman" w:hAnsi="Times New Roman" w:eastAsia="仿宋_GB2312" w:cs="Times New Roman"/>
          <w:kern w:val="2"/>
          <w:sz w:val="32"/>
          <w:szCs w:val="32"/>
          <w:lang w:eastAsia="zh-CN"/>
        </w:rPr>
        <w:t>km</w:t>
      </w:r>
      <w:r>
        <w:rPr>
          <w:rFonts w:hint="eastAsia" w:ascii="Times New Roman" w:hAnsi="Times New Roman" w:eastAsia="仿宋_GB2312" w:cs="Times New Roman"/>
          <w:kern w:val="2"/>
          <w:sz w:val="32"/>
          <w:szCs w:val="32"/>
          <w:vertAlign w:val="superscript"/>
          <w:lang w:eastAsia="zh-CN"/>
        </w:rPr>
        <w:t>2</w:t>
      </w:r>
      <w:r>
        <w:rPr>
          <w:rFonts w:hint="eastAsia" w:ascii="仿宋_GB2312" w:hAnsi="仿宋_GB2312" w:eastAsia="仿宋_GB2312" w:cs="仿宋_GB2312"/>
          <w:sz w:val="32"/>
          <w:szCs w:val="32"/>
          <w:lang w:eastAsia="zh-CN"/>
        </w:rPr>
        <w:t>。其中</w:t>
      </w:r>
      <w:r>
        <w:rPr>
          <w:rFonts w:hint="eastAsia" w:ascii="Times New Roman" w:hAnsi="Times New Roman" w:eastAsia="仿宋_GB2312" w:cs="Times New Roman"/>
          <w:sz w:val="32"/>
          <w:szCs w:val="32"/>
          <w:lang w:eastAsia="zh-CN"/>
        </w:rPr>
        <w:t>2</w:t>
      </w:r>
      <w:r>
        <w:rPr>
          <w:rFonts w:hint="eastAsia" w:ascii="仿宋_GB2312" w:hAnsi="仿宋_GB2312" w:eastAsia="仿宋_GB2312" w:cs="仿宋_GB2312"/>
          <w:sz w:val="32"/>
          <w:szCs w:val="32"/>
          <w:lang w:eastAsia="zh-CN"/>
        </w:rPr>
        <w:t>类功能区面积最大，为</w:t>
      </w:r>
      <w:r>
        <w:rPr>
          <w:rFonts w:hint="default" w:ascii="Times New Roman" w:hAnsi="Times New Roman" w:eastAsia="仿宋_GB2312" w:cs="Times New Roman"/>
          <w:sz w:val="32"/>
          <w:szCs w:val="32"/>
          <w:lang w:eastAsia="zh-CN"/>
        </w:rPr>
        <w:t>26.33km</w:t>
      </w:r>
      <w:r>
        <w:rPr>
          <w:rFonts w:hint="default" w:ascii="Times New Roman" w:hAnsi="Times New Roman" w:eastAsia="仿宋_GB2312" w:cs="Times New Roman"/>
          <w:sz w:val="32"/>
          <w:szCs w:val="32"/>
          <w:vertAlign w:val="superscript"/>
          <w:lang w:eastAsia="zh-CN"/>
        </w:rPr>
        <w:t>2</w:t>
      </w:r>
      <w:r>
        <w:rPr>
          <w:rFonts w:hint="eastAsia" w:ascii="仿宋_GB2312" w:hAnsi="仿宋_GB2312" w:eastAsia="仿宋_GB2312" w:cs="仿宋_GB2312"/>
          <w:sz w:val="32"/>
          <w:szCs w:val="32"/>
          <w:lang w:eastAsia="zh-CN"/>
        </w:rPr>
        <w:t>，占整个区划面积的</w:t>
      </w:r>
      <w:r>
        <w:rPr>
          <w:rFonts w:hint="default" w:ascii="Times New Roman" w:hAnsi="Times New Roman" w:eastAsia="仿宋_GB2312" w:cs="Times New Roman"/>
          <w:sz w:val="32"/>
          <w:szCs w:val="32"/>
          <w:lang w:eastAsia="zh-CN"/>
        </w:rPr>
        <w:t>44.63%</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类功能区面积为</w:t>
      </w:r>
      <w:r>
        <w:rPr>
          <w:rFonts w:hint="default" w:ascii="Times New Roman" w:hAnsi="Times New Roman" w:eastAsia="仿宋_GB2312" w:cs="Times New Roman"/>
          <w:sz w:val="32"/>
          <w:szCs w:val="32"/>
          <w:lang w:eastAsia="zh-CN"/>
        </w:rPr>
        <w:t>10.46km</w:t>
      </w:r>
      <w:r>
        <w:rPr>
          <w:rFonts w:hint="default" w:ascii="Times New Roman" w:hAnsi="Times New Roman" w:eastAsia="仿宋_GB2312" w:cs="Times New Roman"/>
          <w:sz w:val="32"/>
          <w:szCs w:val="32"/>
          <w:vertAlign w:val="superscript"/>
          <w:lang w:eastAsia="zh-CN"/>
        </w:rPr>
        <w:t>2</w:t>
      </w:r>
      <w:r>
        <w:rPr>
          <w:rFonts w:hint="eastAsia" w:ascii="仿宋_GB2312" w:hAnsi="仿宋_GB2312" w:eastAsia="仿宋_GB2312" w:cs="仿宋_GB2312"/>
          <w:sz w:val="32"/>
          <w:szCs w:val="32"/>
          <w:lang w:eastAsia="zh-CN"/>
        </w:rPr>
        <w:t>，占整个功能区划面积的</w:t>
      </w:r>
      <w:r>
        <w:rPr>
          <w:rFonts w:hint="default" w:ascii="Times New Roman" w:hAnsi="Times New Roman" w:eastAsia="仿宋_GB2312" w:cs="Times New Roman"/>
          <w:sz w:val="32"/>
          <w:szCs w:val="32"/>
          <w:lang w:eastAsia="zh-CN"/>
        </w:rPr>
        <w:t>17.73%</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3</w:t>
      </w:r>
      <w:r>
        <w:rPr>
          <w:rFonts w:hint="eastAsia" w:ascii="仿宋_GB2312" w:hAnsi="仿宋_GB2312" w:eastAsia="仿宋_GB2312" w:cs="仿宋_GB2312"/>
          <w:sz w:val="32"/>
          <w:szCs w:val="32"/>
          <w:lang w:eastAsia="zh-CN"/>
        </w:rPr>
        <w:t>类功能区面积为</w:t>
      </w:r>
      <w:r>
        <w:rPr>
          <w:rFonts w:hint="eastAsia" w:ascii="Times New Roman" w:hAnsi="Times New Roman" w:eastAsia="仿宋_GB2312" w:cs="Times New Roman"/>
          <w:sz w:val="32"/>
          <w:szCs w:val="32"/>
          <w:lang w:eastAsia="zh-CN"/>
        </w:rPr>
        <w:t>10.25km</w:t>
      </w:r>
      <w:r>
        <w:rPr>
          <w:rFonts w:hint="eastAsia" w:ascii="Times New Roman" w:hAnsi="Times New Roman" w:eastAsia="仿宋_GB2312" w:cs="Times New Roman"/>
          <w:sz w:val="32"/>
          <w:szCs w:val="32"/>
          <w:vertAlign w:val="superscript"/>
          <w:lang w:eastAsia="zh-CN"/>
        </w:rPr>
        <w:t>2</w:t>
      </w:r>
      <w:r>
        <w:rPr>
          <w:rFonts w:hint="eastAsia" w:ascii="仿宋_GB2312" w:hAnsi="仿宋_GB2312" w:eastAsia="仿宋_GB2312" w:cs="仿宋_GB2312"/>
          <w:sz w:val="32"/>
          <w:szCs w:val="32"/>
          <w:lang w:eastAsia="zh-CN"/>
        </w:rPr>
        <w:t>，占整个功能区划面积的</w:t>
      </w:r>
      <w:r>
        <w:rPr>
          <w:rFonts w:hint="default" w:ascii="Times New Roman" w:hAnsi="Times New Roman" w:eastAsia="仿宋_GB2312" w:cs="Times New Roman"/>
          <w:sz w:val="32"/>
          <w:szCs w:val="32"/>
          <w:lang w:eastAsia="zh-CN"/>
        </w:rPr>
        <w:t>17.37%</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default" w:ascii="Times New Roman" w:hAnsi="Times New Roman" w:eastAsia="仿宋_GB2312" w:cs="Times New Roman"/>
          <w:kern w:val="2"/>
          <w:sz w:val="32"/>
          <w:szCs w:val="32"/>
          <w:lang w:eastAsia="zh-CN"/>
        </w:rPr>
        <w:t>4a、4b</w:t>
      </w:r>
      <w:r>
        <w:rPr>
          <w:rFonts w:hint="eastAsia" w:ascii="仿宋_GB2312" w:hAnsi="仿宋_GB2312" w:eastAsia="仿宋_GB2312" w:cs="仿宋_GB2312"/>
          <w:kern w:val="2"/>
          <w:sz w:val="32"/>
          <w:szCs w:val="32"/>
          <w:lang w:eastAsia="zh-CN"/>
        </w:rPr>
        <w:t>类声环境功能区包括县城内高速、主干道、次干道、铁路及边界线外一定区域以及交通站场。</w:t>
      </w:r>
    </w:p>
    <w:p>
      <w:pPr>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具体见下表</w:t>
      </w:r>
      <w:r>
        <w:rPr>
          <w:rFonts w:hint="eastAsia" w:ascii="Times New Roman" w:hAnsi="Times New Roman" w:eastAsia="仿宋_GB2312" w:cs="Times New Roman"/>
          <w:kern w:val="2"/>
          <w:sz w:val="32"/>
          <w:szCs w:val="32"/>
          <w:lang w:eastAsia="zh-CN"/>
        </w:rPr>
        <w:t>3</w:t>
      </w:r>
      <w:r>
        <w:rPr>
          <w:rFonts w:hint="eastAsia" w:ascii="仿宋_GB2312" w:hAnsi="仿宋_GB2312" w:eastAsia="仿宋_GB2312" w:cs="仿宋_GB2312"/>
          <w:kern w:val="2"/>
          <w:sz w:val="32"/>
          <w:szCs w:val="32"/>
          <w:lang w:eastAsia="zh-CN"/>
        </w:rPr>
        <w:t>、表</w:t>
      </w:r>
      <w:r>
        <w:rPr>
          <w:rFonts w:hint="eastAsia" w:ascii="Times New Roman" w:hAnsi="Times New Roman" w:eastAsia="仿宋_GB2312" w:cs="Times New Roman"/>
          <w:kern w:val="2"/>
          <w:sz w:val="32"/>
          <w:szCs w:val="32"/>
          <w:lang w:eastAsia="zh-CN"/>
        </w:rPr>
        <w:t>4</w:t>
      </w:r>
      <w:r>
        <w:rPr>
          <w:rFonts w:hint="eastAsia" w:ascii="Times New Roman" w:hAnsi="Times New Roman" w:eastAsia="仿宋_GB2312" w:cs="Times New Roman"/>
          <w:kern w:val="2"/>
          <w:sz w:val="32"/>
          <w:szCs w:val="32"/>
          <w:lang w:val="en-US" w:eastAsia="zh-CN"/>
        </w:rPr>
        <w:t>及附图</w:t>
      </w:r>
      <w:r>
        <w:rPr>
          <w:rFonts w:hint="eastAsia" w:ascii="仿宋_GB2312" w:hAnsi="仿宋_GB2312" w:eastAsia="仿宋_GB2312" w:cs="仿宋_GB2312"/>
          <w:kern w:val="2"/>
          <w:sz w:val="32"/>
          <w:szCs w:val="32"/>
          <w:lang w:eastAsia="zh-CN"/>
        </w:rPr>
        <w:t>。</w:t>
      </w:r>
    </w:p>
    <w:p>
      <w:pPr>
        <w:pStyle w:val="2"/>
        <w:rPr>
          <w:rFonts w:hint="eastAsia" w:ascii="仿宋_GB2312" w:hAnsi="仿宋_GB2312" w:eastAsia="仿宋_GB2312" w:cs="仿宋_GB2312"/>
          <w:kern w:val="2"/>
          <w:sz w:val="32"/>
          <w:szCs w:val="32"/>
          <w:lang w:eastAsia="zh-CN"/>
        </w:rPr>
      </w:pPr>
    </w:p>
    <w:p>
      <w:pPr>
        <w:pStyle w:val="2"/>
        <w:rPr>
          <w:rFonts w:hint="eastAsia" w:ascii="仿宋_GB2312" w:hAnsi="仿宋_GB2312" w:eastAsia="仿宋_GB2312" w:cs="仿宋_GB2312"/>
          <w:kern w:val="2"/>
          <w:sz w:val="32"/>
          <w:szCs w:val="32"/>
          <w:lang w:eastAsia="zh-CN"/>
        </w:rPr>
      </w:pPr>
    </w:p>
    <w:p>
      <w:pPr>
        <w:pStyle w:val="2"/>
        <w:rPr>
          <w:rFonts w:hint="eastAsia" w:ascii="仿宋_GB2312" w:hAnsi="仿宋_GB2312" w:eastAsia="仿宋_GB2312" w:cs="仿宋_GB2312"/>
          <w:kern w:val="2"/>
          <w:sz w:val="32"/>
          <w:szCs w:val="32"/>
          <w:lang w:eastAsia="zh-CN"/>
        </w:rPr>
      </w:pPr>
    </w:p>
    <w:p>
      <w:pPr>
        <w:pStyle w:val="2"/>
        <w:rPr>
          <w:rFonts w:hint="eastAsia" w:ascii="仿宋_GB2312" w:hAnsi="仿宋_GB2312" w:eastAsia="仿宋_GB2312" w:cs="仿宋_GB2312"/>
          <w:kern w:val="2"/>
          <w:sz w:val="32"/>
          <w:szCs w:val="32"/>
          <w:lang w:eastAsia="zh-CN"/>
        </w:rPr>
      </w:pPr>
    </w:p>
    <w:p>
      <w:pPr>
        <w:pStyle w:val="2"/>
        <w:rPr>
          <w:rFonts w:hint="eastAsia" w:ascii="仿宋_GB2312" w:hAnsi="仿宋_GB2312" w:eastAsia="仿宋_GB2312" w:cs="仿宋_GB2312"/>
          <w:kern w:val="2"/>
          <w:sz w:val="32"/>
          <w:szCs w:val="32"/>
          <w:lang w:eastAsia="zh-CN"/>
        </w:rPr>
      </w:pPr>
    </w:p>
    <w:p>
      <w:pPr>
        <w:pStyle w:val="2"/>
        <w:rPr>
          <w:rFonts w:hint="eastAsia" w:ascii="仿宋_GB2312" w:hAnsi="仿宋_GB2312" w:eastAsia="仿宋_GB2312" w:cs="仿宋_GB2312"/>
          <w:kern w:val="2"/>
          <w:sz w:val="32"/>
          <w:szCs w:val="32"/>
          <w:lang w:eastAsia="zh-CN"/>
        </w:rPr>
        <w:sectPr>
          <w:footerReference r:id="rId19" w:type="default"/>
          <w:pgSz w:w="11906" w:h="16838"/>
          <w:pgMar w:top="1701" w:right="1587" w:bottom="1701" w:left="1587" w:header="851" w:footer="992" w:gutter="0"/>
          <w:pgNumType w:fmt="numberInDash"/>
          <w:cols w:space="425" w:num="1"/>
          <w:docGrid w:type="lines" w:linePitch="312" w:charSpace="0"/>
        </w:sectPr>
      </w:pPr>
    </w:p>
    <w:p>
      <w:pPr>
        <w:autoSpaceDE/>
        <w:autoSpaceDN/>
        <w:spacing w:beforeLines="50" w:line="240" w:lineRule="auto"/>
        <w:jc w:val="center"/>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表3  郯城县区1～3类声环境功能区划分情况表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122"/>
        <w:gridCol w:w="2306"/>
        <w:gridCol w:w="1796"/>
        <w:gridCol w:w="1702"/>
        <w:gridCol w:w="6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rPr>
              <w:t>功能区</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类型</w:t>
            </w: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rPr>
              <w:t>功能区</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编号</w:t>
            </w:r>
          </w:p>
        </w:tc>
        <w:tc>
          <w:tcPr>
            <w:tcW w:w="81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功能</w:t>
            </w:r>
          </w:p>
        </w:tc>
        <w:tc>
          <w:tcPr>
            <w:tcW w:w="63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面积</w:t>
            </w:r>
            <w:r>
              <w:rPr>
                <w:rFonts w:hint="eastAsia" w:ascii="仿宋_GB2312" w:hAnsi="仿宋_GB2312" w:eastAsia="仿宋_GB2312" w:cs="仿宋_GB2312"/>
                <w:b/>
                <w:sz w:val="21"/>
                <w:szCs w:val="21"/>
                <w:lang w:eastAsia="zh-CN"/>
              </w:rPr>
              <w:t>（k</w:t>
            </w:r>
            <w:r>
              <w:rPr>
                <w:rFonts w:hint="eastAsia" w:ascii="仿宋_GB2312" w:hAnsi="仿宋_GB2312" w:eastAsia="仿宋_GB2312" w:cs="仿宋_GB2312"/>
                <w:b/>
                <w:sz w:val="21"/>
                <w:szCs w:val="21"/>
              </w:rPr>
              <w:t>m</w:t>
            </w:r>
            <w:r>
              <w:rPr>
                <w:rFonts w:hint="eastAsia" w:ascii="仿宋_GB2312" w:hAnsi="仿宋_GB2312" w:eastAsia="仿宋_GB2312" w:cs="仿宋_GB2312"/>
                <w:b/>
                <w:sz w:val="21"/>
                <w:szCs w:val="21"/>
                <w:vertAlign w:val="superscript"/>
              </w:rPr>
              <w:t>2</w:t>
            </w:r>
            <w:r>
              <w:rPr>
                <w:rFonts w:hint="eastAsia" w:ascii="仿宋_GB2312" w:hAnsi="仿宋_GB2312" w:eastAsia="仿宋_GB2312" w:cs="仿宋_GB2312"/>
                <w:b/>
                <w:sz w:val="21"/>
                <w:szCs w:val="21"/>
                <w:lang w:eastAsia="zh-CN"/>
              </w:rPr>
              <w:t>）</w:t>
            </w:r>
          </w:p>
        </w:tc>
        <w:tc>
          <w:tcPr>
            <w:tcW w:w="601"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lang w:eastAsia="zh-CN"/>
              </w:rPr>
              <w:t>总</w:t>
            </w:r>
            <w:r>
              <w:rPr>
                <w:rFonts w:hint="eastAsia" w:ascii="仿宋_GB2312" w:hAnsi="仿宋_GB2312" w:eastAsia="仿宋_GB2312" w:cs="仿宋_GB2312"/>
                <w:b/>
                <w:sz w:val="21"/>
                <w:szCs w:val="21"/>
              </w:rPr>
              <w:t>面积</w:t>
            </w:r>
            <w:r>
              <w:rPr>
                <w:rFonts w:hint="eastAsia" w:ascii="仿宋_GB2312" w:hAnsi="仿宋_GB2312" w:eastAsia="仿宋_GB2312" w:cs="仿宋_GB2312"/>
                <w:b/>
                <w:sz w:val="21"/>
                <w:szCs w:val="21"/>
                <w:lang w:eastAsia="zh-CN"/>
              </w:rPr>
              <w:t>（k</w:t>
            </w:r>
            <w:r>
              <w:rPr>
                <w:rFonts w:hint="eastAsia" w:ascii="仿宋_GB2312" w:hAnsi="仿宋_GB2312" w:eastAsia="仿宋_GB2312" w:cs="仿宋_GB2312"/>
                <w:b/>
                <w:sz w:val="21"/>
                <w:szCs w:val="21"/>
              </w:rPr>
              <w:t>m</w:t>
            </w:r>
            <w:r>
              <w:rPr>
                <w:rFonts w:hint="eastAsia" w:ascii="仿宋_GB2312" w:hAnsi="仿宋_GB2312" w:eastAsia="仿宋_GB2312" w:cs="仿宋_GB2312"/>
                <w:b/>
                <w:sz w:val="21"/>
                <w:szCs w:val="21"/>
                <w:vertAlign w:val="superscript"/>
              </w:rPr>
              <w:t>2</w:t>
            </w:r>
            <w:r>
              <w:rPr>
                <w:rFonts w:hint="eastAsia" w:ascii="仿宋_GB2312" w:hAnsi="仿宋_GB2312" w:eastAsia="仿宋_GB2312" w:cs="仿宋_GB2312"/>
                <w:b/>
                <w:sz w:val="21"/>
                <w:szCs w:val="21"/>
                <w:lang w:eastAsia="zh-CN"/>
              </w:rPr>
              <w:t>）</w:t>
            </w:r>
          </w:p>
        </w:tc>
        <w:tc>
          <w:tcPr>
            <w:tcW w:w="2159"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9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1类区</w:t>
            </w: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1-Ⅰ</w:t>
            </w:r>
          </w:p>
        </w:tc>
        <w:tc>
          <w:tcPr>
            <w:tcW w:w="8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居民住宅、医疗卫生、文化教育、科研设计、行政办公为主区域</w:t>
            </w:r>
          </w:p>
        </w:tc>
        <w:tc>
          <w:tcPr>
            <w:tcW w:w="63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6.14</w:t>
            </w:r>
          </w:p>
        </w:tc>
        <w:tc>
          <w:tcPr>
            <w:tcW w:w="601"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10.46</w:t>
            </w: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北至北环路、西至振兴路、东至文明路、南至南环路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1-Ⅱ</w:t>
            </w:r>
          </w:p>
        </w:tc>
        <w:tc>
          <w:tcPr>
            <w:tcW w:w="8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63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1.98</w:t>
            </w:r>
          </w:p>
        </w:tc>
        <w:tc>
          <w:tcPr>
            <w:tcW w:w="6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北至栗林路、西至铁东路、东至沭河路、南至人民路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1-Ⅲ</w:t>
            </w:r>
          </w:p>
        </w:tc>
        <w:tc>
          <w:tcPr>
            <w:tcW w:w="8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p>
        </w:tc>
        <w:tc>
          <w:tcPr>
            <w:tcW w:w="634"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0.37</w:t>
            </w:r>
          </w:p>
        </w:tc>
        <w:tc>
          <w:tcPr>
            <w:tcW w:w="60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北至朝阳路、西至铁东路、东至沭河路、南至皇亭东路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1</w:t>
            </w:r>
            <w:r>
              <w:rPr>
                <w:rFonts w:hint="eastAsia" w:ascii="仿宋_GB2312" w:hAnsi="仿宋_GB2312" w:eastAsia="仿宋_GB2312" w:cs="仿宋_GB2312"/>
                <w:sz w:val="21"/>
                <w:szCs w:val="21"/>
              </w:rPr>
              <w:t>-Ⅳ</w:t>
            </w:r>
          </w:p>
        </w:tc>
        <w:tc>
          <w:tcPr>
            <w:tcW w:w="8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p>
        </w:tc>
        <w:tc>
          <w:tcPr>
            <w:tcW w:w="634"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1.10</w:t>
            </w:r>
          </w:p>
        </w:tc>
        <w:tc>
          <w:tcPr>
            <w:tcW w:w="60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北至团结路、西至昌盛路、东至郯中南路、南至皇亭路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1-</w:t>
            </w:r>
            <w:r>
              <w:rPr>
                <w:rFonts w:hint="eastAsia" w:ascii="仿宋_GB2312" w:hAnsi="仿宋_GB2312" w:eastAsia="仿宋_GB2312" w:cs="仿宋_GB2312"/>
                <w:sz w:val="21"/>
                <w:szCs w:val="21"/>
              </w:rPr>
              <w:t>Ⅴ</w:t>
            </w:r>
          </w:p>
        </w:tc>
        <w:tc>
          <w:tcPr>
            <w:tcW w:w="8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p>
        </w:tc>
        <w:tc>
          <w:tcPr>
            <w:tcW w:w="634"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0.87</w:t>
            </w:r>
          </w:p>
        </w:tc>
        <w:tc>
          <w:tcPr>
            <w:tcW w:w="60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北至田园路、西至郯中北路、东至富民路、南至郯城县客运站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2类区</w:t>
            </w: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2-Ⅰ</w:t>
            </w:r>
          </w:p>
        </w:tc>
        <w:tc>
          <w:tcPr>
            <w:tcW w:w="814" w:type="pct"/>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商业金融、集市贸易为主，或居住、商业、工业混杂区域</w:t>
            </w:r>
          </w:p>
        </w:tc>
        <w:tc>
          <w:tcPr>
            <w:tcW w:w="634"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26.33</w:t>
            </w:r>
          </w:p>
        </w:tc>
        <w:tc>
          <w:tcPr>
            <w:tcW w:w="60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26.33</w:t>
            </w: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北至泰山路，南至南外环路，东至沭河，西至围带河—白马河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39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3类区</w:t>
            </w: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3-Ⅰ</w:t>
            </w:r>
          </w:p>
        </w:tc>
        <w:tc>
          <w:tcPr>
            <w:tcW w:w="81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以工业生产、仓储物流为主要功能的区域</w:t>
            </w:r>
          </w:p>
        </w:tc>
        <w:tc>
          <w:tcPr>
            <w:tcW w:w="63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3.82</w:t>
            </w:r>
          </w:p>
        </w:tc>
        <w:tc>
          <w:tcPr>
            <w:tcW w:w="601"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10.25</w:t>
            </w: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北至玉鼎路、西至围带河路、东至西白马河路、南至西白马河路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3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w:t>
            </w:r>
            <w:r>
              <w:rPr>
                <w:rFonts w:hint="eastAsia" w:ascii="仿宋_GB2312" w:hAnsi="仿宋_GB2312" w:eastAsia="仿宋_GB2312" w:cs="仿宋_GB2312"/>
                <w:sz w:val="21"/>
                <w:szCs w:val="21"/>
              </w:rPr>
              <w:t>-Ⅱ</w:t>
            </w:r>
          </w:p>
        </w:tc>
        <w:tc>
          <w:tcPr>
            <w:tcW w:w="8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p>
        </w:tc>
        <w:tc>
          <w:tcPr>
            <w:tcW w:w="63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5.70</w:t>
            </w:r>
          </w:p>
        </w:tc>
        <w:tc>
          <w:tcPr>
            <w:tcW w:w="6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北至北环路、西至东白马河路、东至昌盛路、南至清泉路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3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w:t>
            </w:r>
            <w:r>
              <w:rPr>
                <w:rFonts w:hint="eastAsia" w:ascii="仿宋_GB2312" w:hAnsi="仿宋_GB2312" w:eastAsia="仿宋_GB2312" w:cs="仿宋_GB2312"/>
                <w:sz w:val="21"/>
                <w:szCs w:val="21"/>
              </w:rPr>
              <w:t>-Ⅲ</w:t>
            </w:r>
          </w:p>
        </w:tc>
        <w:tc>
          <w:tcPr>
            <w:tcW w:w="8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p>
        </w:tc>
        <w:tc>
          <w:tcPr>
            <w:tcW w:w="63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0.32</w:t>
            </w:r>
          </w:p>
        </w:tc>
        <w:tc>
          <w:tcPr>
            <w:tcW w:w="6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北至龙潭路、西至工业路、东至昌盛路、南至南环路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3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396"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w:t>
            </w:r>
            <w:r>
              <w:rPr>
                <w:rFonts w:hint="eastAsia" w:ascii="仿宋_GB2312" w:hAnsi="仿宋_GB2312" w:eastAsia="仿宋_GB2312" w:cs="仿宋_GB2312"/>
                <w:sz w:val="21"/>
                <w:szCs w:val="21"/>
              </w:rPr>
              <w:t>-Ⅳ</w:t>
            </w:r>
          </w:p>
        </w:tc>
        <w:tc>
          <w:tcPr>
            <w:tcW w:w="81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rPr>
            </w:pPr>
          </w:p>
        </w:tc>
        <w:tc>
          <w:tcPr>
            <w:tcW w:w="634"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0.41</w:t>
            </w:r>
          </w:p>
        </w:tc>
        <w:tc>
          <w:tcPr>
            <w:tcW w:w="6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p>
        </w:tc>
        <w:tc>
          <w:tcPr>
            <w:tcW w:w="2159" w:type="pct"/>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北至龙潭路、西至富民路、东至东环路、南至南环路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606" w:type="pct"/>
            <w:gridSpan w:val="3"/>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合计</w:t>
            </w:r>
          </w:p>
        </w:tc>
        <w:tc>
          <w:tcPr>
            <w:tcW w:w="3394" w:type="pct"/>
            <w:gridSpan w:val="3"/>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47.04</w:t>
            </w:r>
          </w:p>
        </w:tc>
      </w:tr>
    </w:tbl>
    <w:p>
      <w:pPr>
        <w:autoSpaceDE/>
        <w:autoSpaceDN/>
        <w:spacing w:beforeLines="50" w:line="240" w:lineRule="auto"/>
        <w:jc w:val="center"/>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表4-1  郯城县区4a类声环境功能区划分情况表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769"/>
        <w:gridCol w:w="1516"/>
        <w:gridCol w:w="1848"/>
        <w:gridCol w:w="2769"/>
        <w:gridCol w:w="2897"/>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254" w:type="pct"/>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编号</w:t>
            </w:r>
          </w:p>
        </w:tc>
        <w:tc>
          <w:tcPr>
            <w:tcW w:w="624" w:type="pct"/>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道路名称</w:t>
            </w:r>
          </w:p>
        </w:tc>
        <w:tc>
          <w:tcPr>
            <w:tcW w:w="535" w:type="pct"/>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道路等级</w:t>
            </w:r>
          </w:p>
        </w:tc>
        <w:tc>
          <w:tcPr>
            <w:tcW w:w="652" w:type="pct"/>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道路长度（m）</w:t>
            </w:r>
          </w:p>
        </w:tc>
        <w:tc>
          <w:tcPr>
            <w:tcW w:w="2932" w:type="pct"/>
            <w:gridSpan w:val="3"/>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道路长度（m）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254"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p>
        </w:tc>
        <w:tc>
          <w:tcPr>
            <w:tcW w:w="624"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p>
        </w:tc>
        <w:tc>
          <w:tcPr>
            <w:tcW w:w="535"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p>
        </w:tc>
        <w:tc>
          <w:tcPr>
            <w:tcW w:w="652"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p>
        </w:tc>
        <w:tc>
          <w:tcPr>
            <w:tcW w:w="977" w:type="pct"/>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声环境1类功能区（50m）</w:t>
            </w:r>
          </w:p>
        </w:tc>
        <w:tc>
          <w:tcPr>
            <w:tcW w:w="1022" w:type="pct"/>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声环境2类功能区（35m）</w:t>
            </w:r>
          </w:p>
        </w:tc>
        <w:tc>
          <w:tcPr>
            <w:tcW w:w="932" w:type="pct"/>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声环境3类功能区（20m）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北环路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9886</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992</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6289</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玉鼎路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3387</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古槐路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2894</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1174</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1267</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古槐东路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2029</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2029</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郯马路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2671</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2485</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186</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人民路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8033</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1173</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6324</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开源路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2909</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727</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建设路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5295</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3042</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2253</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双泰路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2729</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1361</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皇亭路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5319</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1500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3819</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11</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兴郯路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7310</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2799</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新凯路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3890</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1671</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13</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郯西路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5688</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1698</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3990</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郯东路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8602</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1273</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7329</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东外环路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6306</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6306</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四海路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3181</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3181</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17</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九州路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1658</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348</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1310</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沭河路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6860</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6860</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19</w:t>
            </w:r>
          </w:p>
        </w:tc>
        <w:tc>
          <w:tcPr>
            <w:tcW w:w="624"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南环路</w:t>
            </w:r>
          </w:p>
        </w:tc>
        <w:tc>
          <w:tcPr>
            <w:tcW w:w="535"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主干路</w:t>
            </w:r>
          </w:p>
        </w:tc>
        <w:tc>
          <w:tcPr>
            <w:tcW w:w="65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9691</w:t>
            </w:r>
          </w:p>
        </w:tc>
        <w:tc>
          <w:tcPr>
            <w:tcW w:w="977"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9691</w:t>
            </w:r>
          </w:p>
        </w:tc>
        <w:tc>
          <w:tcPr>
            <w:tcW w:w="932" w:type="pct"/>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bl>
    <w:p>
      <w:pPr>
        <w:autoSpaceDE/>
        <w:autoSpaceDN/>
        <w:spacing w:beforeLines="50" w:line="240" w:lineRule="auto"/>
        <w:jc w:val="center"/>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表4-2 郯城县区4a类声环境功能区划分情况表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768"/>
        <w:gridCol w:w="1518"/>
        <w:gridCol w:w="1847"/>
        <w:gridCol w:w="2770"/>
        <w:gridCol w:w="2895"/>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color w:val="000000"/>
                <w:sz w:val="21"/>
                <w:szCs w:val="21"/>
                <w:lang w:eastAsia="zh-CN"/>
              </w:rPr>
            </w:pPr>
            <w:r>
              <w:rPr>
                <w:rFonts w:hint="eastAsia" w:ascii="仿宋_GB2312" w:hAnsi="仿宋_GB2312" w:eastAsia="仿宋_GB2312" w:cs="仿宋_GB2312"/>
                <w:b/>
                <w:sz w:val="21"/>
                <w:szCs w:val="21"/>
                <w:lang w:eastAsia="zh-CN"/>
              </w:rPr>
              <w:t>编号</w:t>
            </w:r>
          </w:p>
        </w:tc>
        <w:tc>
          <w:tcPr>
            <w:tcW w:w="1768" w:type="dxa"/>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道路名称</w:t>
            </w:r>
          </w:p>
        </w:tc>
        <w:tc>
          <w:tcPr>
            <w:tcW w:w="1518" w:type="dxa"/>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道路等级</w:t>
            </w:r>
          </w:p>
        </w:tc>
        <w:tc>
          <w:tcPr>
            <w:tcW w:w="1847" w:type="dxa"/>
            <w:vMerge w:val="restart"/>
            <w:tcBorders>
              <w:top w:val="single" w:color="auto" w:sz="4" w:space="0"/>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道路长度（m）</w:t>
            </w:r>
          </w:p>
        </w:tc>
        <w:tc>
          <w:tcPr>
            <w:tcW w:w="8308" w:type="dxa"/>
            <w:gridSpan w:val="3"/>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道路长度（m）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Merge w:val="continue"/>
            <w:tcBorders>
              <w:left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color w:val="000000"/>
                <w:sz w:val="21"/>
                <w:szCs w:val="21"/>
                <w:lang w:eastAsia="zh-CN"/>
              </w:rPr>
            </w:pPr>
          </w:p>
        </w:tc>
        <w:tc>
          <w:tcPr>
            <w:tcW w:w="1768" w:type="dxa"/>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p>
        </w:tc>
        <w:tc>
          <w:tcPr>
            <w:tcW w:w="1518" w:type="dxa"/>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rPr>
            </w:pPr>
          </w:p>
        </w:tc>
        <w:tc>
          <w:tcPr>
            <w:tcW w:w="1847" w:type="dxa"/>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p>
        </w:tc>
        <w:tc>
          <w:tcPr>
            <w:tcW w:w="2770" w:type="dxa"/>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声环境1类功能区（45m）</w:t>
            </w:r>
          </w:p>
        </w:tc>
        <w:tc>
          <w:tcPr>
            <w:tcW w:w="2895" w:type="dxa"/>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声环境2类功能区（30m）</w:t>
            </w:r>
          </w:p>
        </w:tc>
        <w:tc>
          <w:tcPr>
            <w:tcW w:w="2643" w:type="dxa"/>
            <w:tcBorders>
              <w:top w:val="single" w:color="auto" w:sz="4" w:space="0"/>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声环境3类功能区（15m）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z w:val="21"/>
                <w:szCs w:val="21"/>
                <w:lang w:eastAsia="zh-CN"/>
              </w:rPr>
              <w:t>20</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华山路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2668</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2668</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21</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泰山路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4135</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4135</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22</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古梅路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1471</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1471</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23</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嵩山路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2508</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2508</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24</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田园路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6247</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6247</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25</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衡山路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3275</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3275</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z w:val="21"/>
                <w:szCs w:val="21"/>
                <w:lang w:eastAsia="zh-CN"/>
              </w:rPr>
              <w:t>26</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神舟路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1520</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1520</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27</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栗林路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1601</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1601</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28</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文化路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5099</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3094</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1625</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29</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古城路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4685</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2935</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1750</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30</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府后路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2329</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1767</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562</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31</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府前路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1859</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1161</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698</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32</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通府路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2722</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962</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1760</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33</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新源路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3023</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223</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34</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团结路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3036</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3036</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35</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朝阳路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2757</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1278</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1479</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36</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建设东路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1018</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354</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664</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37</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智源路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6421</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1326</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2900</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38</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龙潭路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6801</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865</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39</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清泉路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9613</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457</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7561</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40</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围带河路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4459</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4459</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41</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顺亿路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3958</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1728</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42</w:t>
            </w:r>
          </w:p>
        </w:tc>
        <w:tc>
          <w:tcPr>
            <w:tcW w:w="17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恒通路</w:t>
            </w:r>
          </w:p>
        </w:tc>
        <w:tc>
          <w:tcPr>
            <w:tcW w:w="1518"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3793</w:t>
            </w:r>
          </w:p>
        </w:tc>
        <w:tc>
          <w:tcPr>
            <w:tcW w:w="2770"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1811</w:t>
            </w:r>
          </w:p>
        </w:tc>
        <w:tc>
          <w:tcPr>
            <w:tcW w:w="2643" w:type="dxa"/>
            <w:tcBorders>
              <w:top w:val="single" w:color="auto" w:sz="4" w:space="0"/>
              <w:left w:val="single" w:color="auto" w:sz="4" w:space="0"/>
              <w:bottom w:val="single" w:color="auto" w:sz="4" w:space="0"/>
              <w:right w:val="single" w:color="auto" w:sz="4" w:space="0"/>
            </w:tcBorders>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43</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五岳路</w:t>
            </w:r>
          </w:p>
        </w:tc>
        <w:tc>
          <w:tcPr>
            <w:tcW w:w="1518" w:type="dxa"/>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2124</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1203</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color w:val="000000"/>
                <w:sz w:val="21"/>
                <w:szCs w:val="21"/>
                <w:lang w:eastAsia="zh-CN"/>
              </w:rPr>
              <w:t>44</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西白马河路</w:t>
            </w:r>
          </w:p>
        </w:tc>
        <w:tc>
          <w:tcPr>
            <w:tcW w:w="1518" w:type="dxa"/>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6260</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45</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东白马河路</w:t>
            </w:r>
          </w:p>
        </w:tc>
        <w:tc>
          <w:tcPr>
            <w:tcW w:w="1518" w:type="dxa"/>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5383</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widowControl/>
              <w:autoSpaceDE/>
              <w:autoSpaceDN/>
              <w:spacing w:line="240" w:lineRule="auto"/>
              <w:jc w:val="center"/>
              <w:textAlignment w:val="center"/>
              <w:rPr>
                <w:rFonts w:hint="eastAsia"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46</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明月路</w:t>
            </w:r>
          </w:p>
        </w:tc>
        <w:tc>
          <w:tcPr>
            <w:tcW w:w="1518" w:type="dxa"/>
            <w:vAlign w:val="center"/>
          </w:tcPr>
          <w:p>
            <w:pPr>
              <w:pStyle w:val="34"/>
              <w:autoSpaceDE/>
              <w:autoSpaceDN/>
              <w:spacing w:line="240" w:lineRule="auto"/>
              <w:jc w:val="center"/>
              <w:rPr>
                <w:rFonts w:hint="eastAsia" w:ascii="仿宋_GB2312" w:hAnsi="仿宋_GB2312" w:eastAsia="仿宋_GB2312" w:cs="仿宋_GB2312"/>
                <w:kern w:val="2"/>
                <w:sz w:val="21"/>
                <w:szCs w:val="21"/>
                <w:lang w:val="zh-CN" w:eastAsia="zh-CN" w:bidi="zh-CN"/>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2383</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47</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银杏路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2818</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393</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安子桥路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3045</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368</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49</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昌盛路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4419</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4419</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50</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振兴路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4318</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832</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3486</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51</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郯中南路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2047</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2047</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52</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富民路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3867</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432</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2435</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53</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文明路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3646</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453</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3193</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54</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铁东路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6294</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6294</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55</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王卸路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1052</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502</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550</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56</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张卸路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1053</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557</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496</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57</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五湖路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3091</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1609</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1482</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2"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58</w:t>
            </w:r>
          </w:p>
        </w:tc>
        <w:tc>
          <w:tcPr>
            <w:tcW w:w="1768"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开阳</w:t>
            </w:r>
            <w:r>
              <w:rPr>
                <w:rFonts w:hint="eastAsia" w:ascii="仿宋_GB2312" w:hAnsi="仿宋_GB2312" w:eastAsia="仿宋_GB2312" w:cs="仿宋_GB2312"/>
                <w:sz w:val="21"/>
                <w:szCs w:val="21"/>
              </w:rPr>
              <w:t>路</w:t>
            </w:r>
          </w:p>
        </w:tc>
        <w:tc>
          <w:tcPr>
            <w:tcW w:w="1518" w:type="dxa"/>
          </w:tcPr>
          <w:p>
            <w:pPr>
              <w:jc w:val="center"/>
              <w:rPr>
                <w:rFonts w:hint="eastAsia" w:ascii="仿宋_GB2312" w:hAnsi="仿宋_GB2312" w:eastAsia="仿宋_GB2312" w:cs="仿宋_GB2312"/>
              </w:rPr>
            </w:pPr>
            <w:r>
              <w:rPr>
                <w:rFonts w:hint="eastAsia" w:ascii="仿宋_GB2312" w:hAnsi="仿宋_GB2312" w:eastAsia="仿宋_GB2312" w:cs="仿宋_GB2312"/>
                <w:sz w:val="21"/>
                <w:szCs w:val="21"/>
              </w:rPr>
              <w:t>次干路</w:t>
            </w:r>
          </w:p>
        </w:tc>
        <w:tc>
          <w:tcPr>
            <w:tcW w:w="1847" w:type="dxa"/>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1589</w:t>
            </w:r>
          </w:p>
        </w:tc>
        <w:tc>
          <w:tcPr>
            <w:tcW w:w="2770"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664</w:t>
            </w:r>
          </w:p>
        </w:tc>
        <w:tc>
          <w:tcPr>
            <w:tcW w:w="2895"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925</w:t>
            </w:r>
          </w:p>
        </w:tc>
        <w:tc>
          <w:tcPr>
            <w:tcW w:w="2643" w:type="dxa"/>
            <w:vAlign w:val="center"/>
          </w:tcPr>
          <w:p>
            <w:pPr>
              <w:pStyle w:val="34"/>
              <w:autoSpaceDE/>
              <w:autoSpaceDN/>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bl>
    <w:p>
      <w:pPr>
        <w:pStyle w:val="2"/>
        <w:spacing w:beforeLines="50" w:line="240" w:lineRule="auto"/>
        <w:ind w:firstLine="0" w:firstLineChars="0"/>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表4-3  郯城县区4b类声环境功能区划分情况表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68"/>
        <w:gridCol w:w="1519"/>
        <w:gridCol w:w="1848"/>
        <w:gridCol w:w="2771"/>
        <w:gridCol w:w="2896"/>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blHeader/>
        </w:trPr>
        <w:tc>
          <w:tcPr>
            <w:tcW w:w="255" w:type="pct"/>
            <w:vMerge w:val="restart"/>
            <w:tcBorders>
              <w:top w:val="single" w:color="auto" w:sz="4" w:space="0"/>
              <w:left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编号</w:t>
            </w:r>
          </w:p>
        </w:tc>
        <w:tc>
          <w:tcPr>
            <w:tcW w:w="624" w:type="pct"/>
            <w:vMerge w:val="restart"/>
            <w:tcBorders>
              <w:top w:val="single" w:color="auto" w:sz="4" w:space="0"/>
              <w:left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道路名称</w:t>
            </w:r>
          </w:p>
        </w:tc>
        <w:tc>
          <w:tcPr>
            <w:tcW w:w="536" w:type="pct"/>
            <w:vMerge w:val="restart"/>
            <w:tcBorders>
              <w:top w:val="single" w:color="auto" w:sz="4" w:space="0"/>
              <w:left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道路等级</w:t>
            </w:r>
          </w:p>
        </w:tc>
        <w:tc>
          <w:tcPr>
            <w:tcW w:w="652" w:type="pct"/>
            <w:vMerge w:val="restart"/>
            <w:tcBorders>
              <w:top w:val="single" w:color="auto" w:sz="4" w:space="0"/>
              <w:left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道路长度（m）</w:t>
            </w:r>
          </w:p>
        </w:tc>
        <w:tc>
          <w:tcPr>
            <w:tcW w:w="2931"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道路长度（m）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blHeader/>
        </w:trPr>
        <w:tc>
          <w:tcPr>
            <w:tcW w:w="255"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bCs/>
                <w:sz w:val="21"/>
                <w:szCs w:val="21"/>
                <w:lang w:eastAsia="zh-CN"/>
              </w:rPr>
            </w:pPr>
          </w:p>
        </w:tc>
        <w:tc>
          <w:tcPr>
            <w:tcW w:w="624"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bCs/>
                <w:sz w:val="21"/>
                <w:szCs w:val="21"/>
              </w:rPr>
            </w:pPr>
          </w:p>
        </w:tc>
        <w:tc>
          <w:tcPr>
            <w:tcW w:w="536"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bCs/>
                <w:sz w:val="21"/>
                <w:szCs w:val="21"/>
              </w:rPr>
            </w:pPr>
          </w:p>
        </w:tc>
        <w:tc>
          <w:tcPr>
            <w:tcW w:w="652" w:type="pct"/>
            <w:vMerge w:val="continue"/>
            <w:tcBorders>
              <w:left w:val="single" w:color="auto" w:sz="4" w:space="0"/>
              <w:bottom w:val="single" w:color="auto" w:sz="4" w:space="0"/>
              <w:right w:val="single" w:color="auto" w:sz="4" w:space="0"/>
            </w:tcBorders>
            <w:vAlign w:val="center"/>
          </w:tcPr>
          <w:p>
            <w:pPr>
              <w:pStyle w:val="41"/>
              <w:autoSpaceDE/>
              <w:autoSpaceDN/>
              <w:spacing w:line="240" w:lineRule="auto"/>
              <w:jc w:val="center"/>
              <w:rPr>
                <w:rFonts w:hint="eastAsia" w:ascii="仿宋_GB2312" w:hAnsi="仿宋_GB2312" w:eastAsia="仿宋_GB2312" w:cs="仿宋_GB2312"/>
                <w:b/>
                <w:bCs/>
                <w:sz w:val="21"/>
                <w:szCs w:val="21"/>
                <w:lang w:eastAsia="zh-CN"/>
              </w:rPr>
            </w:pPr>
          </w:p>
        </w:tc>
        <w:tc>
          <w:tcPr>
            <w:tcW w:w="978"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声环境1类功能区（55m）</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声环境2类功能区（40m）</w:t>
            </w: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声环境3类功能区（25m）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59</w:t>
            </w:r>
          </w:p>
        </w:tc>
        <w:tc>
          <w:tcPr>
            <w:tcW w:w="6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胶新</w:t>
            </w:r>
            <w:r>
              <w:rPr>
                <w:rFonts w:hint="eastAsia" w:ascii="仿宋_GB2312" w:hAnsi="仿宋_GB2312" w:eastAsia="仿宋_GB2312" w:cs="仿宋_GB2312"/>
                <w:sz w:val="21"/>
                <w:szCs w:val="21"/>
              </w:rPr>
              <w:t>铁路</w:t>
            </w:r>
          </w:p>
        </w:tc>
        <w:tc>
          <w:tcPr>
            <w:tcW w:w="5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铁路</w:t>
            </w:r>
          </w:p>
        </w:tc>
        <w:tc>
          <w:tcPr>
            <w:tcW w:w="6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5310</w:t>
            </w:r>
          </w:p>
        </w:tc>
        <w:tc>
          <w:tcPr>
            <w:tcW w:w="978"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5310</w:t>
            </w: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0</w:t>
            </w:r>
          </w:p>
        </w:tc>
      </w:tr>
    </w:tbl>
    <w:p>
      <w:pPr>
        <w:pStyle w:val="2"/>
        <w:ind w:firstLine="480"/>
        <w:rPr>
          <w:rFonts w:ascii="Times New Roman" w:hAnsi="Times New Roman" w:cs="Times New Roman"/>
          <w:lang w:eastAsia="zh-CN"/>
        </w:rPr>
      </w:pPr>
    </w:p>
    <w:p>
      <w:pPr>
        <w:pStyle w:val="2"/>
        <w:ind w:firstLine="480"/>
        <w:rPr>
          <w:rFonts w:ascii="Times New Roman" w:hAnsi="Times New Roman" w:cs="Times New Roman"/>
          <w:lang w:eastAsia="zh-CN"/>
        </w:rPr>
        <w:sectPr>
          <w:pgSz w:w="16838" w:h="11906" w:orient="landscape"/>
          <w:pgMar w:top="1803" w:right="1440" w:bottom="1803" w:left="1440" w:header="851" w:footer="992" w:gutter="0"/>
          <w:pgNumType w:fmt="numberInDash"/>
          <w:cols w:space="0" w:num="1"/>
          <w:docGrid w:type="lines" w:linePitch="332" w:charSpace="0"/>
        </w:sectPr>
      </w:pPr>
    </w:p>
    <w:p>
      <w:pPr>
        <w:pStyle w:val="3"/>
        <w:spacing w:line="0" w:lineRule="atLeast"/>
        <w:jc w:val="left"/>
        <w:rPr>
          <w:rFonts w:hint="default" w:ascii="黑体" w:hAnsi="黑体" w:eastAsia="黑体" w:cs="黑体"/>
          <w:sz w:val="32"/>
          <w:szCs w:val="32"/>
          <w:lang w:val="en-US" w:eastAsia="zh-CN"/>
        </w:rPr>
      </w:pPr>
      <w:bookmarkStart w:id="358" w:name="_Toc8190"/>
      <w:r>
        <w:rPr>
          <w:rFonts w:hint="eastAsia" w:ascii="黑体" w:hAnsi="黑体" w:eastAsia="黑体" w:cs="黑体"/>
          <w:sz w:val="32"/>
          <w:szCs w:val="32"/>
          <w:lang w:eastAsia="zh-CN"/>
        </w:rPr>
        <w:t>附图：《郯城县声环境功能区划</w:t>
      </w:r>
      <w:bookmarkEnd w:id="358"/>
      <w:r>
        <w:rPr>
          <w:rFonts w:hint="eastAsia" w:ascii="黑体" w:hAnsi="黑体" w:cs="黑体"/>
          <w:sz w:val="32"/>
          <w:szCs w:val="32"/>
          <w:lang w:val="en-US" w:eastAsia="zh-CN"/>
        </w:rPr>
        <w:t>图》</w:t>
      </w:r>
    </w:p>
    <w:p>
      <w:pPr>
        <w:pStyle w:val="3"/>
        <w:spacing w:line="0" w:lineRule="atLeast"/>
        <w:jc w:val="center"/>
        <w:rPr>
          <w:rFonts w:hint="eastAsia"/>
          <w:lang w:val="en-US" w:eastAsia="zh-CN"/>
        </w:rPr>
      </w:pPr>
      <w:r>
        <w:rPr>
          <w:lang w:eastAsia="zh-CN"/>
        </w:rPr>
        <w:drawing>
          <wp:inline distT="0" distB="0" distL="0" distR="0">
            <wp:extent cx="6943090" cy="4768850"/>
            <wp:effectExtent l="0" t="0" r="10160" b="12700"/>
            <wp:docPr id="11" name="图片 2" descr="E:\项目\2022年项目\郯城县声功能区划项目\输出图片\郯城县建成区声环境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E:\项目\2022年项目\郯城县声功能区划项目\输出图片\郯城县建成区声环境区划图.jpg"/>
                    <pic:cNvPicPr>
                      <a:picLocks noChangeAspect="1" noChangeArrowheads="1"/>
                    </pic:cNvPicPr>
                  </pic:nvPicPr>
                  <pic:blipFill>
                    <a:blip r:embed="rId24" cstate="print"/>
                    <a:srcRect/>
                    <a:stretch>
                      <a:fillRect/>
                    </a:stretch>
                  </pic:blipFill>
                  <pic:spPr>
                    <a:xfrm>
                      <a:off x="0" y="0"/>
                      <a:ext cx="6943090" cy="4768850"/>
                    </a:xfrm>
                    <a:prstGeom prst="rect">
                      <a:avLst/>
                    </a:prstGeom>
                    <a:noFill/>
                    <a:ln w="9525">
                      <a:noFill/>
                      <a:miter lim="800000"/>
                      <a:headEnd/>
                      <a:tailEnd/>
                    </a:ln>
                  </pic:spPr>
                </pic:pic>
              </a:graphicData>
            </a:graphic>
          </wp:inline>
        </w:drawing>
      </w:r>
    </w:p>
    <w:sectPr>
      <w:footerReference r:id="rId20" w:type="default"/>
      <w:pgSz w:w="16838" w:h="11906" w:orient="landscape"/>
      <w:pgMar w:top="1588" w:right="1701" w:bottom="1588" w:left="1588"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A265134-C9D8-44E8-831E-BD537B0A794B}"/>
  </w:font>
  <w:font w:name="黑体">
    <w:panose1 w:val="02010600030101010101"/>
    <w:charset w:val="86"/>
    <w:family w:val="auto"/>
    <w:pitch w:val="default"/>
    <w:sig w:usb0="800002BF" w:usb1="38CF7CFA" w:usb2="00000016" w:usb3="00000000" w:csb0="00040001" w:csb1="00000000"/>
    <w:embedRegular r:id="rId2" w:fontKey="{5850CA42-5A7F-4954-8B66-AFFFFEB435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02C965AA-120B-4EDD-B669-E4B77563BE89}"/>
  </w:font>
  <w:font w:name="PMingLiU">
    <w:panose1 w:val="02020300000000000000"/>
    <w:charset w:val="88"/>
    <w:family w:val="auto"/>
    <w:pitch w:val="default"/>
    <w:sig w:usb0="00000003" w:usb1="082E0000" w:usb2="00000016" w:usb3="00000000" w:csb0="00100001" w:csb1="00000000"/>
    <w:embedRegular r:id="rId4" w:fontKey="{E47FF0D4-9C4A-4A13-AE84-B13664EC0C2B}"/>
  </w:font>
  <w:font w:name="仿宋_GB2312">
    <w:panose1 w:val="02010609030101010101"/>
    <w:charset w:val="86"/>
    <w:family w:val="modern"/>
    <w:pitch w:val="default"/>
    <w:sig w:usb0="00000001" w:usb1="080E0000" w:usb2="00000000" w:usb3="00000000" w:csb0="00040000" w:csb1="00000000"/>
    <w:embedRegular r:id="rId5" w:fontKey="{139B0B81-CABD-4DE6-8C53-9DC5CE926904}"/>
  </w:font>
  <w:font w:name="方正小标宋简体">
    <w:panose1 w:val="03000509000000000000"/>
    <w:charset w:val="86"/>
    <w:family w:val="script"/>
    <w:pitch w:val="default"/>
    <w:sig w:usb0="00000001" w:usb1="080E0000" w:usb2="00000000" w:usb3="00000000" w:csb0="00040000" w:csb1="00000000"/>
    <w:embedRegular r:id="rId6" w:fontKey="{9B917A1F-FD71-4B63-AE16-B2E0F2028874}"/>
  </w:font>
  <w:font w:name="文星仿宋">
    <w:panose1 w:val="02010609000101010101"/>
    <w:charset w:val="86"/>
    <w:family w:val="modern"/>
    <w:pitch w:val="default"/>
    <w:sig w:usb0="00000001" w:usb1="080E0000" w:usb2="00000000" w:usb3="00000000" w:csb0="00040000" w:csb1="00000000"/>
    <w:embedRegular r:id="rId7" w:fontKey="{6B9C09E7-FCC7-43FC-B57A-423AD7495D62}"/>
  </w:font>
  <w:font w:name="楷体_GB2312">
    <w:panose1 w:val="02010609030101010101"/>
    <w:charset w:val="86"/>
    <w:family w:val="modern"/>
    <w:pitch w:val="default"/>
    <w:sig w:usb0="00000001" w:usb1="080E0000" w:usb2="00000000" w:usb3="00000000" w:csb0="00040000" w:csb1="00000000"/>
    <w:embedRegular r:id="rId8" w:fontKey="{08BBE43F-EC3D-40D1-B75F-707E028B1930}"/>
  </w:font>
  <w:font w:name="仿宋">
    <w:panose1 w:val="02010609060101010101"/>
    <w:charset w:val="86"/>
    <w:family w:val="auto"/>
    <w:pitch w:val="default"/>
    <w:sig w:usb0="800002BF" w:usb1="38CF7CFA" w:usb2="00000016" w:usb3="00000000" w:csb0="00040001" w:csb1="00000000"/>
    <w:embedRegular r:id="rId9" w:fontKey="{173FF478-0E65-4E7B-A912-0D74AFA0D195}"/>
  </w:font>
  <w:font w:name="CESI仿宋-GB2312">
    <w:altName w:val="仿宋"/>
    <w:panose1 w:val="00000000000000000000"/>
    <w:charset w:val="86"/>
    <w:family w:val="auto"/>
    <w:pitch w:val="default"/>
    <w:sig w:usb0="00000000" w:usb1="00000000" w:usb2="00000010" w:usb3="00000000" w:csb0="0004000F" w:csb1="00000000"/>
    <w:embedRegular r:id="rId10" w:fontKey="{DBDFE9FF-2761-4A10-A6EA-00D9B9BA0E38}"/>
  </w:font>
  <w:font w:name="穝灿砰">
    <w:altName w:val="方正公文小标宋"/>
    <w:panose1 w:val="00000000000000000000"/>
    <w:charset w:val="00"/>
    <w:family w:val="auto"/>
    <w:pitch w:val="default"/>
    <w:sig w:usb0="00000000" w:usb1="00000000" w:usb2="00000000" w:usb3="00000000" w:csb0="00040001" w:csb1="00000000"/>
    <w:embedRegular r:id="rId11" w:fontKey="{3146535E-143F-477D-A47C-E84990F9C6A9}"/>
  </w:font>
  <w:font w:name="文星标宋">
    <w:panose1 w:val="02010609000101010101"/>
    <w:charset w:val="86"/>
    <w:family w:val="modern"/>
    <w:pitch w:val="default"/>
    <w:sig w:usb0="00000001" w:usb1="080E0000" w:usb2="00000000" w:usb3="00000000" w:csb0="00040000" w:csb1="00000000"/>
    <w:embedRegular r:id="rId12" w:fontKey="{24B5483E-8B32-4EA4-82E6-8F32D9DC09B5}"/>
  </w:font>
  <w:font w:name="方正小标宋_GBK">
    <w:panose1 w:val="02000000000000000000"/>
    <w:charset w:val="86"/>
    <w:family w:val="auto"/>
    <w:pitch w:val="default"/>
    <w:sig w:usb0="A00002BF" w:usb1="38CF7CFA" w:usb2="00082016" w:usb3="00000000" w:csb0="00040001" w:csb1="00000000"/>
    <w:embedRegular r:id="rId13" w:fontKey="{BE4B244F-86CE-4E32-B1B2-A16CCE12511F}"/>
  </w:font>
  <w:font w:name="方正公文小标宋">
    <w:panose1 w:val="02000500000000000000"/>
    <w:charset w:val="86"/>
    <w:family w:val="auto"/>
    <w:pitch w:val="default"/>
    <w:sig w:usb0="A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12</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5hjeIyQEAAJ8DAAAOAAAAAAAAAAEAIAAAAB4BAABkcnMvZTJvRG9j&#10;LnhtbFBLBQYAAAAABgAGAFkBAABZ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12</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12"/>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snapToGrid w:val="0"/>
                            <w:jc w:val="left"/>
                            <w:rPr>
                              <w:rFonts w:hint="default" w:ascii="Times New Roman" w:hAnsi="Times New Roman" w:eastAsia="宋体" w:cs="Times New Roman"/>
                              <w:kern w:val="2"/>
                              <w:sz w:val="24"/>
                              <w:szCs w:val="24"/>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widowControl w:val="0"/>
                      <w:snapToGrid w:val="0"/>
                      <w:jc w:val="left"/>
                      <w:rPr>
                        <w:rFonts w:hint="default" w:ascii="Times New Roman" w:hAnsi="Times New Roman" w:eastAsia="宋体" w:cs="Times New Roman"/>
                        <w:kern w:val="2"/>
                        <w:sz w:val="24"/>
                        <w:szCs w:val="24"/>
                        <w:lang w:val="en-US" w:eastAsia="zh-CN" w:bidi="ar-SA"/>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- 1 -</w:t>
                          </w:r>
                          <w:r>
                            <w:rPr>
                              <w:rFonts w:hint="eastAsia" w:asciiTheme="minorEastAsia" w:hAnsiTheme="minorEastAsia" w:eastAsiaTheme="minorEastAsia" w:cstheme="minorEastAsia"/>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- 1 -</w:t>
                    </w:r>
                    <w:r>
                      <w:rPr>
                        <w:rFonts w:hint="eastAsia" w:asciiTheme="minorEastAsia" w:hAnsiTheme="minorEastAsia" w:eastAsiaTheme="minorEastAsia" w:cstheme="minorEastAsia"/>
                        <w:sz w:val="24"/>
                        <w:szCs w:val="24"/>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2"/>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1</w:t>
                          </w:r>
                          <w:r>
                            <w:rPr>
                              <w:rFonts w:hint="eastAsia" w:ascii="宋体" w:hAnsi="宋体" w:eastAsia="宋体" w:cs="宋体"/>
                              <w:sz w:val="24"/>
                              <w:szCs w:val="24"/>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E1FxvR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4ZISywxO/PT71+nP&#10;v9PfnwR9KFDvoca8e4+ZcfjkBkye/YDOxHuQwaQvMiIYR3mPZ3nFEAlPj6plVZUY4hibL4hfPD73&#10;AeJn4QxJRkMDzi/Lyg5fIY6pc0qqZt2t0jrPUFvSJxLV1WV+cQ4hurZYJLEYu01WHLbDRG3r2iMy&#10;63EJGmpx5ynRXyxqnPZlNsJsbGdj74PadXmhUivgb/YR28ldpgoj7FQYp5d5TpuW1uPpPWc9/l3r&#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hNRcb0QEAAKUDAAAOAAAAAAAAAAEAIAAAACIB&#10;AABkcnMvZTJvRG9jLnhtbFBLBQYAAAAABgAGAFkBAABlBQ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1</w:t>
                    </w:r>
                    <w:r>
                      <w:rPr>
                        <w:rFonts w:hint="eastAsia" w:ascii="宋体" w:hAnsi="宋体" w:eastAsia="宋体" w:cs="宋体"/>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560" w:lineRule="exact"/>
      <w:jc w:val="left"/>
      <w:rPr>
        <w:rFonts w:ascii="Calibri" w:hAnsi="Calibri" w:eastAsia="仿宋_GB2312" w:cs="Times New Roman"/>
        <w:sz w:val="18"/>
        <w:szCs w:val="24"/>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- 10 -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- 10 -</w:t>
                    </w:r>
                    <w:r>
                      <w:rPr>
                        <w:rFonts w:hint="eastAsia" w:ascii="宋体" w:hAnsi="宋体" w:eastAsia="宋体" w:cs="宋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8539"/>
        <w:tab w:val="clear" w:pos="4153"/>
        <w:tab w:val="clear" w:pos="8306"/>
      </w:tabs>
      <w:ind w:left="350"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8539"/>
        <w:tab w:val="clear" w:pos="4153"/>
        <w:tab w:val="clear" w:pos="8306"/>
      </w:tabs>
      <w:ind w:left="350"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rPr>
        <w:rFonts w:ascii="宋体" w:hAnsi="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280" w:firstLineChars="100"/>
      <w:rPr>
        <w:rFonts w:ascii="宋体" w:hAnsi="宋体"/>
        <w:sz w:val="28"/>
        <w:szCs w:val="28"/>
      </w:rPr>
    </w:pPr>
    <w:r>
      <w:rPr>
        <w:rFonts w:ascii="宋体" w:hAnsi="宋体"/>
        <w:kern w:val="0"/>
        <w:sz w:val="28"/>
        <w:szCs w:val="28"/>
      </w:rPr>
      <w:t xml:space="preserve">- </w:t>
    </w:r>
    <w:r>
      <w:rPr>
        <w:rFonts w:ascii="宋体" w:hAnsi="宋体"/>
        <w:kern w:val="0"/>
        <w:sz w:val="28"/>
        <w:szCs w:val="28"/>
      </w:rPr>
      <w:fldChar w:fldCharType="begin"/>
    </w:r>
    <w:r>
      <w:rPr>
        <w:rFonts w:ascii="宋体" w:hAnsi="宋体"/>
        <w:kern w:val="0"/>
        <w:sz w:val="28"/>
        <w:szCs w:val="28"/>
      </w:rPr>
      <w:instrText xml:space="preserve"> PAGE </w:instrText>
    </w:r>
    <w:r>
      <w:rPr>
        <w:rFonts w:ascii="宋体" w:hAnsi="宋体"/>
        <w:kern w:val="0"/>
        <w:sz w:val="28"/>
        <w:szCs w:val="28"/>
      </w:rPr>
      <w:fldChar w:fldCharType="separate"/>
    </w:r>
    <w:r>
      <w:rPr>
        <w:rFonts w:ascii="宋体" w:hAnsi="宋体"/>
        <w:kern w:val="0"/>
        <w:sz w:val="28"/>
        <w:szCs w:val="28"/>
      </w:rPr>
      <w:t>66</w:t>
    </w:r>
    <w:r>
      <w:rPr>
        <w:rFonts w:ascii="宋体" w:hAnsi="宋体"/>
        <w:kern w:val="0"/>
        <w:sz w:val="28"/>
        <w:szCs w:val="28"/>
      </w:rPr>
      <w:fldChar w:fldCharType="end"/>
    </w:r>
    <w:r>
      <w:rPr>
        <w:rFonts w:ascii="宋体" w:hAnsi="宋体"/>
        <w:kern w:val="0"/>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MGIyYzJiNDczMzRjNDc2NTkwZDM4N2ZiMjQxNDIifQ=="/>
  </w:docVars>
  <w:rsids>
    <w:rsidRoot w:val="403951B7"/>
    <w:rsid w:val="00C15936"/>
    <w:rsid w:val="02A71DC2"/>
    <w:rsid w:val="036B2C8D"/>
    <w:rsid w:val="084F49D2"/>
    <w:rsid w:val="08AE694A"/>
    <w:rsid w:val="0CCA3EF2"/>
    <w:rsid w:val="0FC3352F"/>
    <w:rsid w:val="113F417A"/>
    <w:rsid w:val="14A22264"/>
    <w:rsid w:val="1B173EB2"/>
    <w:rsid w:val="21017C02"/>
    <w:rsid w:val="21D92B67"/>
    <w:rsid w:val="244377F9"/>
    <w:rsid w:val="25162EBD"/>
    <w:rsid w:val="25AA5F2C"/>
    <w:rsid w:val="285753DD"/>
    <w:rsid w:val="296316E5"/>
    <w:rsid w:val="29AC2292"/>
    <w:rsid w:val="2BE023BB"/>
    <w:rsid w:val="2CD80157"/>
    <w:rsid w:val="2D480265"/>
    <w:rsid w:val="2DA17ECF"/>
    <w:rsid w:val="2F1A21A8"/>
    <w:rsid w:val="369169D1"/>
    <w:rsid w:val="39E210F9"/>
    <w:rsid w:val="3AF760A9"/>
    <w:rsid w:val="403951B7"/>
    <w:rsid w:val="420A7A6E"/>
    <w:rsid w:val="4BA964A0"/>
    <w:rsid w:val="50F46A2A"/>
    <w:rsid w:val="514C1DBB"/>
    <w:rsid w:val="545E0C19"/>
    <w:rsid w:val="54820973"/>
    <w:rsid w:val="54D519BC"/>
    <w:rsid w:val="587649FF"/>
    <w:rsid w:val="5D4D28E9"/>
    <w:rsid w:val="62F82F7B"/>
    <w:rsid w:val="630C29C8"/>
    <w:rsid w:val="636724EC"/>
    <w:rsid w:val="65426A52"/>
    <w:rsid w:val="6767185A"/>
    <w:rsid w:val="68642C71"/>
    <w:rsid w:val="6864524C"/>
    <w:rsid w:val="69EA5EE9"/>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1"/>
    <w:pPr>
      <w:ind w:left="1277" w:right="1432"/>
      <w:jc w:val="center"/>
      <w:outlineLvl w:val="0"/>
    </w:pPr>
    <w:rPr>
      <w:sz w:val="44"/>
      <w:szCs w:val="44"/>
    </w:rPr>
  </w:style>
  <w:style w:type="paragraph" w:styleId="4">
    <w:name w:val="heading 3"/>
    <w:basedOn w:val="1"/>
    <w:next w:val="1"/>
    <w:qFormat/>
    <w:uiPriority w:val="0"/>
    <w:pPr>
      <w:keepNext/>
      <w:keepLines/>
      <w:spacing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列出段落1"/>
    <w:basedOn w:val="1"/>
    <w:qFormat/>
    <w:uiPriority w:val="34"/>
    <w:pPr>
      <w:ind w:firstLine="420" w:firstLineChars="200"/>
    </w:pPr>
  </w:style>
  <w:style w:type="paragraph" w:styleId="5">
    <w:name w:val="Normal Indent"/>
    <w:basedOn w:val="1"/>
    <w:next w:val="1"/>
    <w:qFormat/>
    <w:uiPriority w:val="99"/>
    <w:pPr>
      <w:overflowPunct w:val="0"/>
      <w:autoSpaceDE w:val="0"/>
      <w:autoSpaceDN w:val="0"/>
      <w:ind w:firstLine="420" w:firstLineChars="200"/>
    </w:pPr>
    <w:rPr>
      <w:sz w:val="32"/>
      <w:szCs w:val="21"/>
    </w:rPr>
  </w:style>
  <w:style w:type="paragraph" w:styleId="6">
    <w:name w:val="Body Text"/>
    <w:basedOn w:val="1"/>
    <w:next w:val="7"/>
    <w:qFormat/>
    <w:uiPriority w:val="99"/>
    <w:pPr>
      <w:autoSpaceDE w:val="0"/>
      <w:autoSpaceDN w:val="0"/>
      <w:jc w:val="left"/>
    </w:pPr>
    <w:rPr>
      <w:rFonts w:ascii="宋体" w:hAnsi="宋体" w:cs="宋体"/>
      <w:kern w:val="0"/>
      <w:sz w:val="32"/>
      <w:szCs w:val="32"/>
      <w:lang w:val="zh-CN"/>
    </w:rPr>
  </w:style>
  <w:style w:type="paragraph" w:styleId="7">
    <w:name w:val="toc 5"/>
    <w:basedOn w:val="1"/>
    <w:next w:val="1"/>
    <w:qFormat/>
    <w:uiPriority w:val="0"/>
    <w:pPr>
      <w:ind w:left="1680" w:leftChars="800"/>
    </w:pPr>
  </w:style>
  <w:style w:type="paragraph" w:styleId="8">
    <w:name w:val="Body Text Indent"/>
    <w:basedOn w:val="1"/>
    <w:next w:val="5"/>
    <w:qFormat/>
    <w:uiPriority w:val="99"/>
    <w:pPr>
      <w:spacing w:after="120"/>
      <w:ind w:left="420" w:leftChars="200"/>
    </w:pPr>
  </w:style>
  <w:style w:type="paragraph" w:styleId="9">
    <w:name w:val="toc 3"/>
    <w:next w:val="1"/>
    <w:qFormat/>
    <w:uiPriority w:val="39"/>
    <w:pPr>
      <w:widowControl w:val="0"/>
      <w:autoSpaceDE w:val="0"/>
      <w:autoSpaceDN w:val="0"/>
      <w:ind w:left="840" w:leftChars="400"/>
    </w:pPr>
    <w:rPr>
      <w:rFonts w:ascii="PMingLiU" w:hAnsi="PMingLiU" w:eastAsia="PMingLiU" w:cs="PMingLiU"/>
      <w:sz w:val="22"/>
      <w:szCs w:val="22"/>
      <w:lang w:val="en-US" w:eastAsia="en-US" w:bidi="ar-SA"/>
    </w:rPr>
  </w:style>
  <w:style w:type="paragraph" w:styleId="10">
    <w:name w:val="Plain Text"/>
    <w:basedOn w:val="1"/>
    <w:qFormat/>
    <w:uiPriority w:val="99"/>
    <w:rPr>
      <w:rFonts w:ascii="宋体" w:hAnsi="Courier New" w:eastAsia="宋体" w:cs="Courier New"/>
      <w:szCs w:val="21"/>
    </w:rPr>
  </w:style>
  <w:style w:type="paragraph" w:styleId="11">
    <w:name w:val="Body Text Indent 2"/>
    <w:basedOn w:val="1"/>
    <w:qFormat/>
    <w:uiPriority w:val="0"/>
    <w:pPr>
      <w:spacing w:after="120" w:afterLines="0" w:afterAutospacing="0" w:line="480" w:lineRule="auto"/>
      <w:ind w:left="420" w:leftChars="200"/>
    </w:p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pPr>
      <w:widowControl w:val="0"/>
      <w:autoSpaceDE w:val="0"/>
      <w:autoSpaceDN w:val="0"/>
    </w:pPr>
    <w:rPr>
      <w:rFonts w:ascii="PMingLiU" w:hAnsi="PMingLiU" w:eastAsia="PMingLiU" w:cs="PMingLiU"/>
      <w:sz w:val="22"/>
      <w:szCs w:val="22"/>
      <w:lang w:val="en-US" w:eastAsia="en-US" w:bidi="ar-SA"/>
    </w:rPr>
  </w:style>
  <w:style w:type="paragraph" w:styleId="15">
    <w:name w:val="toc 2"/>
    <w:basedOn w:val="1"/>
    <w:next w:val="1"/>
    <w:qFormat/>
    <w:uiPriority w:val="39"/>
    <w:pPr>
      <w:widowControl w:val="0"/>
      <w:autoSpaceDE w:val="0"/>
      <w:autoSpaceDN w:val="0"/>
      <w:ind w:left="420" w:leftChars="200"/>
    </w:pPr>
    <w:rPr>
      <w:rFonts w:ascii="PMingLiU" w:hAnsi="PMingLiU" w:eastAsia="PMingLiU" w:cs="PMingLiU"/>
      <w:sz w:val="22"/>
      <w:szCs w:val="22"/>
      <w:lang w:val="en-US" w:eastAsia="en-US" w:bidi="ar-SA"/>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2"/>
    <w:basedOn w:val="8"/>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semiHidden/>
    <w:unhideWhenUsed/>
    <w:qFormat/>
    <w:uiPriority w:val="99"/>
    <w:rPr>
      <w:color w:val="0000FF"/>
      <w:u w:val="single"/>
    </w:rPr>
  </w:style>
  <w:style w:type="paragraph" w:customStyle="1" w:styleId="24">
    <w:name w:val="Body Text First Indent 21"/>
    <w:basedOn w:val="25"/>
    <w:qFormat/>
    <w:uiPriority w:val="99"/>
    <w:pPr>
      <w:ind w:firstLine="420" w:firstLineChars="200"/>
    </w:pPr>
  </w:style>
  <w:style w:type="paragraph" w:customStyle="1" w:styleId="25">
    <w:name w:val="Body Text Indent1"/>
    <w:basedOn w:val="1"/>
    <w:qFormat/>
    <w:uiPriority w:val="99"/>
    <w:pPr>
      <w:ind w:left="420" w:leftChars="200"/>
    </w:pPr>
  </w:style>
  <w:style w:type="paragraph" w:customStyle="1" w:styleId="26">
    <w:name w:val="NormalIndent"/>
    <w:basedOn w:val="1"/>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27">
    <w:name w:val="0"/>
    <w:basedOn w:val="1"/>
    <w:qFormat/>
    <w:uiPriority w:val="0"/>
    <w:pPr>
      <w:widowControl/>
      <w:snapToGrid w:val="0"/>
      <w:spacing w:line="365" w:lineRule="atLeast"/>
      <w:ind w:left="1"/>
      <w:textAlignment w:val="bottom"/>
    </w:pPr>
    <w:rPr>
      <w:kern w:val="0"/>
      <w:sz w:val="20"/>
      <w:szCs w:val="20"/>
    </w:rPr>
  </w:style>
  <w:style w:type="paragraph" w:styleId="28">
    <w:name w:val="List Paragraph"/>
    <w:basedOn w:val="1"/>
    <w:qFormat/>
    <w:uiPriority w:val="34"/>
    <w:pPr>
      <w:ind w:firstLine="420" w:firstLineChars="200"/>
    </w:pPr>
  </w:style>
  <w:style w:type="character" w:customStyle="1" w:styleId="29">
    <w:name w:val="font61"/>
    <w:basedOn w:val="20"/>
    <w:qFormat/>
    <w:uiPriority w:val="0"/>
    <w:rPr>
      <w:rFonts w:hint="eastAsia" w:ascii="黑体" w:hAnsi="宋体" w:eastAsia="黑体" w:cs="黑体"/>
      <w:color w:val="000000"/>
      <w:sz w:val="28"/>
      <w:szCs w:val="28"/>
      <w:u w:val="none"/>
    </w:rPr>
  </w:style>
  <w:style w:type="character" w:customStyle="1" w:styleId="30">
    <w:name w:val="font51"/>
    <w:basedOn w:val="20"/>
    <w:qFormat/>
    <w:uiPriority w:val="0"/>
    <w:rPr>
      <w:rFonts w:hint="eastAsia" w:ascii="宋体" w:hAnsi="宋体" w:eastAsia="宋体" w:cs="宋体"/>
      <w:color w:val="000000"/>
      <w:sz w:val="28"/>
      <w:szCs w:val="28"/>
      <w:u w:val="none"/>
    </w:rPr>
  </w:style>
  <w:style w:type="character" w:customStyle="1" w:styleId="31">
    <w:name w:val="font21"/>
    <w:basedOn w:val="20"/>
    <w:qFormat/>
    <w:uiPriority w:val="0"/>
    <w:rPr>
      <w:rFonts w:hint="eastAsia" w:ascii="宋体" w:hAnsi="宋体" w:eastAsia="宋体" w:cs="宋体"/>
      <w:color w:val="000000"/>
      <w:sz w:val="22"/>
      <w:szCs w:val="22"/>
      <w:u w:val="none"/>
    </w:rPr>
  </w:style>
  <w:style w:type="character" w:customStyle="1" w:styleId="32">
    <w:name w:val="font41"/>
    <w:basedOn w:val="20"/>
    <w:qFormat/>
    <w:uiPriority w:val="0"/>
    <w:rPr>
      <w:rFonts w:hint="eastAsia" w:ascii="仿宋_GB2312" w:eastAsia="仿宋_GB2312" w:cs="仿宋_GB2312"/>
      <w:b/>
      <w:bCs/>
      <w:color w:val="000000"/>
      <w:sz w:val="24"/>
      <w:szCs w:val="24"/>
      <w:u w:val="none"/>
    </w:rPr>
  </w:style>
  <w:style w:type="character" w:customStyle="1" w:styleId="33">
    <w:name w:val="font11"/>
    <w:basedOn w:val="20"/>
    <w:qFormat/>
    <w:uiPriority w:val="0"/>
    <w:rPr>
      <w:rFonts w:hint="eastAsia" w:ascii="黑体" w:hAnsi="宋体" w:eastAsia="黑体" w:cs="黑体"/>
      <w:color w:val="000000"/>
      <w:sz w:val="28"/>
      <w:szCs w:val="28"/>
      <w:u w:val="none"/>
    </w:rPr>
  </w:style>
  <w:style w:type="paragraph" w:customStyle="1" w:styleId="34">
    <w:name w:val="Table Paragraph"/>
    <w:basedOn w:val="1"/>
    <w:qFormat/>
    <w:uiPriority w:val="1"/>
  </w:style>
  <w:style w:type="character" w:customStyle="1" w:styleId="35">
    <w:name w:val="NormalCharacter"/>
    <w:qFormat/>
    <w:uiPriority w:val="0"/>
    <w:rPr>
      <w:kern w:val="2"/>
      <w:sz w:val="21"/>
      <w:szCs w:val="24"/>
      <w:lang w:val="en-US" w:eastAsia="zh-CN" w:bidi="ar-SA"/>
    </w:rPr>
  </w:style>
  <w:style w:type="table" w:customStyle="1" w:styleId="36">
    <w:name w:val="Table Normal"/>
    <w:unhideWhenUsed/>
    <w:qFormat/>
    <w:uiPriority w:val="0"/>
    <w:tblPr>
      <w:tblCellMar>
        <w:top w:w="0" w:type="dxa"/>
        <w:left w:w="0" w:type="dxa"/>
        <w:bottom w:w="0" w:type="dxa"/>
        <w:right w:w="0" w:type="dxa"/>
      </w:tblCellMar>
    </w:tblPr>
  </w:style>
  <w:style w:type="paragraph" w:customStyle="1" w:styleId="37">
    <w:name w:val="Char Char Char Char Char Char Char Char Char Char Char Char Char Char Char Char Char Char Char Char Char Char Char Char Char Char Char Char Char Char Char Char Char"/>
    <w:basedOn w:val="1"/>
    <w:qFormat/>
    <w:uiPriority w:val="0"/>
    <w:pPr>
      <w:widowControl/>
      <w:spacing w:before="100" w:beforeLines="0" w:beforeAutospacing="1" w:after="100" w:afterLines="0" w:afterAutospacing="1" w:line="240" w:lineRule="exact"/>
      <w:jc w:val="left"/>
    </w:pPr>
  </w:style>
  <w:style w:type="paragraph" w:customStyle="1" w:styleId="38">
    <w:name w:val="Char1"/>
    <w:basedOn w:val="1"/>
    <w:qFormat/>
    <w:uiPriority w:val="0"/>
  </w:style>
  <w:style w:type="paragraph" w:customStyle="1" w:styleId="39">
    <w:name w:val="UserStyle_0"/>
    <w:basedOn w:val="1"/>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0">
    <w:name w:val="我的正文"/>
    <w:basedOn w:val="1"/>
    <w:qFormat/>
    <w:uiPriority w:val="0"/>
    <w:pPr>
      <w:spacing w:line="460" w:lineRule="exact"/>
      <w:ind w:firstLine="482"/>
    </w:pPr>
    <w:rPr>
      <w:rFonts w:ascii="Times New Roman" w:hAnsi="Times New Roman"/>
      <w:szCs w:val="24"/>
    </w:rPr>
  </w:style>
  <w:style w:type="paragraph" w:customStyle="1" w:styleId="41">
    <w:name w:val="表格"/>
    <w:basedOn w:val="1"/>
    <w:qFormat/>
    <w:uiPriority w:val="0"/>
    <w:pPr>
      <w:spacing w:line="240" w:lineRule="atLeast"/>
    </w:pPr>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50453</Words>
  <Characters>52572</Characters>
  <Lines>0</Lines>
  <Paragraphs>0</Paragraphs>
  <TotalTime>12</TotalTime>
  <ScaleCrop>false</ScaleCrop>
  <LinksUpToDate>false</LinksUpToDate>
  <CharactersWithSpaces>53230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王紫莹</cp:lastModifiedBy>
  <cp:lastPrinted>2022-07-11T08:05:00Z</cp:lastPrinted>
  <dcterms:modified xsi:type="dcterms:W3CDTF">2023-10-23T07:04:51Z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8E1010535122471BA090D28336228688_13</vt:lpwstr>
  </property>
</Properties>
</file>