
<file path=[Content_Types].xml><?xml version="1.0" encoding="utf-8"?>
<Types xmlns="http://schemas.openxmlformats.org/package/2006/content-types">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2022年政府信息公开工作年度报告</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pacing w:val="34"/>
          <w:sz w:val="44"/>
          <w:szCs w:val="44"/>
          <w:lang w:val="en-US" w:eastAsia="zh-CN"/>
        </w:rPr>
      </w:pPr>
      <w:r>
        <w:rPr>
          <w:rFonts w:hint="eastAsia" w:ascii="楷体_GB2312" w:hAnsi="楷体_GB2312" w:eastAsia="楷体_GB2312" w:cs="楷体_GB2312"/>
          <w:spacing w:val="34"/>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44"/>
          <w:szCs w:val="44"/>
          <w:lang w:val="en-US" w:eastAsia="zh-CN"/>
        </w:rPr>
      </w:pPr>
      <w:r>
        <w:rPr>
          <w:rFonts w:hint="eastAsia" w:ascii="楷体_GB2312" w:hAnsi="楷体_GB2312" w:eastAsia="楷体_GB2312" w:cs="楷体_GB2312"/>
          <w:sz w:val="44"/>
          <w:szCs w:val="44"/>
          <w:lang w:val="en-US" w:eastAsia="zh-CN"/>
        </w:rPr>
        <w:t>二○二三年二月</w:t>
      </w:r>
    </w:p>
    <w:p>
      <w:pPr>
        <w:sectPr>
          <w:pgSz w:w="11906" w:h="16838"/>
          <w:pgMar w:top="1814" w:right="1587" w:bottom="1701" w:left="1587"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报告根据《中华人民共和国政府信息公开条例》（以下简称《条例》）要求，由县政府办公室综合各乡镇（街道、开发区、景区）、县政府组成部门及直属机构2022年政府信息公开工作年度报告编制而成。内容包括总体情况、主动公开政府信息情况、收到和处理政府信息公开申请情况、政府信息公开行政复议及行政诉讼情况、政府信息公开收取信息处理费情况、人大代表建议和政协委员提案公开情况、政务公开工作创新情况、存在的主要问题和改进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年度报告中所列数据统计期限从2022年1月1日到12月31日止。本年度报告电子版可从郯城县人民政府门户网站（http://tancheng.gov.cn/）下载。如对本年度报告有疑问，请与郯城县人民政府办公室联系（电话:0539-6221137，电子邮箱:tcxzfbgs</w:t>
      </w:r>
      <w:r>
        <w:rPr>
          <w:rFonts w:hint="eastAsia" w:ascii="宋体" w:hAnsi="宋体" w:eastAsia="宋体" w:cs="宋体"/>
          <w:sz w:val="32"/>
          <w:szCs w:val="32"/>
          <w:lang w:val="en-US" w:eastAsia="zh-CN"/>
        </w:rPr>
        <w:t>@</w:t>
      </w:r>
      <w:r>
        <w:rPr>
          <w:rFonts w:hint="eastAsia" w:ascii="仿宋_GB2312" w:hAnsi="仿宋_GB2312" w:eastAsia="仿宋_GB2312" w:cs="仿宋_GB2312"/>
          <w:sz w:val="32"/>
          <w:szCs w:val="32"/>
          <w:lang w:val="en-US" w:eastAsia="zh-CN"/>
        </w:rPr>
        <w:t>ly.shandong.cn）。</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一、总体情况</w:t>
      </w:r>
    </w:p>
    <w:p>
      <w:pPr>
        <w:pStyle w:val="2"/>
        <w:keepNext w:val="0"/>
        <w:keepLines w:val="0"/>
        <w:pageBreakBefore w:val="0"/>
        <w:wordWrap/>
        <w:overflowPunct/>
        <w:topLinePunct w:val="0"/>
        <w:bidi w:val="0"/>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2022年，郯城县各级各部门以习近平新时代中国特色社会主义思想为指导，全面贯彻党的二十大精神，认真落实中央、省、市政务公开工作要点，推进</w:t>
      </w:r>
      <w:r>
        <w:rPr>
          <w:rFonts w:hint="eastAsia" w:hAnsi="仿宋_GB2312" w:cs="仿宋_GB2312"/>
          <w:sz w:val="32"/>
          <w:szCs w:val="32"/>
          <w:lang w:val="en-US" w:eastAsia="zh-CN"/>
        </w:rPr>
        <w:t>全县</w:t>
      </w:r>
      <w:r>
        <w:rPr>
          <w:rFonts w:hint="eastAsia" w:ascii="仿宋_GB2312" w:hAnsi="仿宋_GB2312" w:eastAsia="仿宋_GB2312" w:cs="仿宋_GB2312"/>
          <w:sz w:val="32"/>
          <w:szCs w:val="32"/>
          <w:lang w:val="en-US" w:eastAsia="zh-CN"/>
        </w:rPr>
        <w:t>政务公开工作迈上新台阶。</w:t>
      </w:r>
    </w:p>
    <w:p>
      <w:pPr>
        <w:pStyle w:val="2"/>
        <w:keepNext w:val="0"/>
        <w:keepLines w:val="0"/>
        <w:pageBreakBefore w:val="0"/>
        <w:numPr>
          <w:ilvl w:val="0"/>
          <w:numId w:val="1"/>
        </w:numPr>
        <w:wordWrap/>
        <w:overflowPunct/>
        <w:topLinePunct w:val="0"/>
        <w:bidi w:val="0"/>
        <w:spacing w:line="600" w:lineRule="exact"/>
        <w:ind w:left="-75" w:leftChars="0" w:firstLineChars="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紧扣重点工作，深化主动公开</w:t>
      </w:r>
    </w:p>
    <w:p>
      <w:pPr>
        <w:pStyle w:val="2"/>
        <w:keepNext w:val="0"/>
        <w:keepLines w:val="0"/>
        <w:pageBreakBefore w:val="0"/>
        <w:widowControl/>
        <w:kinsoku w:val="0"/>
        <w:wordWrap/>
        <w:overflowPunct/>
        <w:topLinePunct w:val="0"/>
        <w:autoSpaceDE w:val="0"/>
        <w:autoSpaceDN w:val="0"/>
        <w:bidi w:val="0"/>
        <w:adjustRightInd w:val="0"/>
        <w:snapToGrid w:val="0"/>
        <w:spacing w:line="620" w:lineRule="exact"/>
        <w:ind w:firstLine="703"/>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全年各级各部门</w:t>
      </w:r>
      <w:r>
        <w:rPr>
          <w:rFonts w:hint="eastAsia" w:hAnsi="仿宋_GB2312" w:cs="仿宋_GB2312"/>
          <w:sz w:val="32"/>
          <w:szCs w:val="32"/>
          <w:lang w:val="en-US" w:eastAsia="zh-CN"/>
        </w:rPr>
        <w:t>通过政府网站</w:t>
      </w:r>
      <w:r>
        <w:rPr>
          <w:rFonts w:hint="eastAsia" w:ascii="仿宋_GB2312" w:hAnsi="仿宋_GB2312" w:eastAsia="仿宋_GB2312" w:cs="仿宋_GB2312"/>
          <w:sz w:val="32"/>
          <w:szCs w:val="32"/>
          <w:lang w:val="en-US" w:eastAsia="zh-CN"/>
        </w:rPr>
        <w:t>发布信息18725条，</w:t>
      </w:r>
      <w:r>
        <w:rPr>
          <w:rFonts w:hint="eastAsia" w:hAnsi="仿宋_GB2312" w:cs="仿宋_GB2312"/>
          <w:sz w:val="32"/>
          <w:szCs w:val="32"/>
          <w:lang w:val="en-US" w:eastAsia="zh-CN"/>
        </w:rPr>
        <w:t>及时准确、统一规范，不断</w:t>
      </w:r>
      <w:r>
        <w:rPr>
          <w:rFonts w:hint="eastAsia" w:ascii="仿宋_GB2312" w:hAnsi="仿宋_GB2312" w:eastAsia="仿宋_GB2312" w:cs="仿宋_GB2312"/>
          <w:sz w:val="32"/>
          <w:szCs w:val="32"/>
          <w:lang w:val="en-US" w:eastAsia="zh-CN"/>
        </w:rPr>
        <w:t>提高发布信息</w:t>
      </w:r>
      <w:r>
        <w:rPr>
          <w:rFonts w:hint="eastAsia" w:hAnsi="仿宋_GB2312" w:cs="仿宋_GB2312"/>
          <w:sz w:val="32"/>
          <w:szCs w:val="32"/>
          <w:lang w:val="en-US" w:eastAsia="zh-CN"/>
        </w:rPr>
        <w:t>的</w:t>
      </w:r>
      <w:r>
        <w:rPr>
          <w:rFonts w:hint="eastAsia" w:ascii="仿宋_GB2312" w:hAnsi="仿宋_GB2312" w:eastAsia="仿宋_GB2312" w:cs="仿宋_GB2312"/>
          <w:sz w:val="32"/>
          <w:szCs w:val="32"/>
          <w:lang w:val="en-US" w:eastAsia="zh-CN"/>
        </w:rPr>
        <w:t>“含金量”。围绕</w:t>
      </w:r>
      <w:r>
        <w:rPr>
          <w:rFonts w:hint="eastAsia" w:hAnsi="仿宋_GB2312" w:cs="仿宋_GB2312"/>
          <w:sz w:val="32"/>
          <w:szCs w:val="32"/>
          <w:lang w:val="en-US" w:eastAsia="zh-CN"/>
        </w:rPr>
        <w:t>就业创业</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助企纾困、社会</w:t>
      </w:r>
      <w:r>
        <w:rPr>
          <w:rFonts w:hint="eastAsia" w:ascii="仿宋_GB2312" w:hAnsi="仿宋_GB2312" w:eastAsia="仿宋_GB2312" w:cs="仿宋_GB2312"/>
          <w:sz w:val="32"/>
          <w:szCs w:val="32"/>
          <w:lang w:val="en-US" w:eastAsia="zh-CN"/>
        </w:rPr>
        <w:t>保障等</w:t>
      </w:r>
      <w:r>
        <w:rPr>
          <w:rFonts w:hint="eastAsia" w:hAnsi="仿宋_GB2312" w:cs="仿宋_GB2312"/>
          <w:sz w:val="32"/>
          <w:szCs w:val="32"/>
          <w:lang w:val="en-US" w:eastAsia="zh-CN"/>
        </w:rPr>
        <w:t>方面</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发布</w:t>
      </w:r>
      <w:r>
        <w:rPr>
          <w:rFonts w:hint="eastAsia" w:ascii="仿宋_GB2312" w:hAnsi="仿宋_GB2312" w:eastAsia="仿宋_GB2312" w:cs="仿宋_GB2312"/>
          <w:sz w:val="32"/>
          <w:szCs w:val="32"/>
          <w:lang w:val="en-US" w:eastAsia="zh-CN"/>
        </w:rPr>
        <w:t>重点领域信息7258条</w:t>
      </w:r>
      <w:r>
        <w:rPr>
          <w:rFonts w:hint="eastAsia" w:hAnsi="仿宋_GB2312" w:cs="仿宋_GB2312"/>
          <w:sz w:val="32"/>
          <w:szCs w:val="32"/>
          <w:lang w:val="en-US" w:eastAsia="zh-CN"/>
        </w:rPr>
        <w:t>；</w:t>
      </w:r>
      <w:r>
        <w:rPr>
          <w:rFonts w:hint="eastAsia" w:ascii="仿宋_GB2312" w:hAnsi="仿宋_GB2312" w:eastAsia="仿宋_GB2312" w:cs="仿宋_GB2312"/>
          <w:sz w:val="32"/>
          <w:szCs w:val="32"/>
          <w:lang w:val="en-US" w:eastAsia="zh-CN"/>
        </w:rPr>
        <w:t>围绕激发市场活力、优化营商环境、</w:t>
      </w:r>
      <w:r>
        <w:rPr>
          <w:rFonts w:hint="eastAsia" w:hAnsi="仿宋_GB2312" w:cs="仿宋_GB2312"/>
          <w:sz w:val="32"/>
          <w:szCs w:val="32"/>
          <w:lang w:val="en-US" w:eastAsia="zh-CN"/>
        </w:rPr>
        <w:t>惠</w:t>
      </w:r>
      <w:r>
        <w:rPr>
          <w:rFonts w:hint="eastAsia" w:ascii="仿宋_GB2312" w:hAnsi="仿宋_GB2312" w:eastAsia="仿宋_GB2312" w:cs="仿宋_GB2312"/>
          <w:sz w:val="32"/>
          <w:szCs w:val="32"/>
          <w:lang w:val="en-US" w:eastAsia="zh-CN"/>
        </w:rPr>
        <w:t>企</w:t>
      </w:r>
      <w:r>
        <w:rPr>
          <w:rFonts w:hint="eastAsia" w:hAnsi="仿宋_GB2312" w:cs="仿宋_GB2312"/>
          <w:sz w:val="32"/>
          <w:szCs w:val="32"/>
          <w:lang w:val="en-US" w:eastAsia="zh-CN"/>
        </w:rPr>
        <w:t>利民等</w:t>
      </w:r>
      <w:r>
        <w:rPr>
          <w:rFonts w:hint="eastAsia" w:ascii="仿宋_GB2312" w:hAnsi="仿宋_GB2312" w:eastAsia="仿宋_GB2312" w:cs="仿宋_GB2312"/>
          <w:sz w:val="32"/>
          <w:szCs w:val="32"/>
          <w:lang w:val="en-US" w:eastAsia="zh-CN"/>
        </w:rPr>
        <w:t>方面，</w:t>
      </w:r>
      <w:r>
        <w:rPr>
          <w:rFonts w:hint="eastAsia" w:hAnsi="仿宋_GB2312" w:cs="仿宋_GB2312"/>
          <w:sz w:val="32"/>
          <w:szCs w:val="32"/>
          <w:lang w:val="en-US" w:eastAsia="zh-CN"/>
        </w:rPr>
        <w:t>开展多元化政策解读49次，解读率达到65%，准确传递政策意图，积极引导社会预期；围绕群众关注的重大建设项目、物业管理、医疗保障等热点问题开展开放日活动32次，累计</w:t>
      </w:r>
      <w:r>
        <w:rPr>
          <w:rFonts w:hint="eastAsia" w:ascii="仿宋_GB2312" w:hAnsi="仿宋_GB2312" w:eastAsia="仿宋_GB2312" w:cs="仿宋_GB2312"/>
          <w:sz w:val="32"/>
          <w:szCs w:val="32"/>
          <w:lang w:val="en-US" w:eastAsia="zh-CN"/>
        </w:rPr>
        <w:t>300余名</w:t>
      </w:r>
      <w:r>
        <w:rPr>
          <w:rFonts w:hint="eastAsia" w:hAnsi="仿宋_GB2312" w:cs="仿宋_GB2312"/>
          <w:sz w:val="32"/>
          <w:szCs w:val="32"/>
          <w:lang w:val="en-US" w:eastAsia="zh-CN"/>
        </w:rPr>
        <w:t>市民代表</w:t>
      </w:r>
      <w:r>
        <w:rPr>
          <w:rFonts w:hint="eastAsia" w:ascii="仿宋_GB2312" w:hAnsi="仿宋_GB2312" w:eastAsia="仿宋_GB2312" w:cs="仿宋_GB2312"/>
          <w:sz w:val="32"/>
          <w:szCs w:val="32"/>
          <w:lang w:val="en-US" w:eastAsia="zh-CN"/>
        </w:rPr>
        <w:t>走进政府机关</w:t>
      </w:r>
      <w:r>
        <w:rPr>
          <w:rFonts w:hint="eastAsia" w:hAnsi="仿宋_GB2312" w:cs="仿宋_GB2312"/>
          <w:sz w:val="32"/>
          <w:szCs w:val="32"/>
          <w:lang w:val="en-US" w:eastAsia="zh-CN"/>
        </w:rPr>
        <w:t>，倾力打响“郯心公开”服务品牌。</w:t>
      </w:r>
    </w:p>
    <w:p>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line="620" w:lineRule="exact"/>
        <w:ind w:left="-75" w:leftChars="0" w:firstLine="703" w:firstLineChars="0"/>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改进工作流程，规范依申请公开</w:t>
      </w:r>
    </w:p>
    <w:p>
      <w:pPr>
        <w:pStyle w:val="2"/>
        <w:keepNext w:val="0"/>
        <w:keepLines w:val="0"/>
        <w:pageBreakBefore w:val="0"/>
        <w:widowControl/>
        <w:kinsoku w:val="0"/>
        <w:wordWrap/>
        <w:overflowPunct/>
        <w:topLinePunct w:val="0"/>
        <w:autoSpaceDE w:val="0"/>
        <w:autoSpaceDN w:val="0"/>
        <w:bidi w:val="0"/>
        <w:adjustRightInd w:val="0"/>
        <w:snapToGrid w:val="0"/>
        <w:spacing w:line="620" w:lineRule="exact"/>
        <w:textAlignment w:val="baseline"/>
        <w:rPr>
          <w:rFonts w:hint="eastAsia" w:hAnsi="仿宋_GB2312" w:cs="仿宋_GB2312"/>
          <w:sz w:val="32"/>
          <w:szCs w:val="32"/>
          <w:lang w:val="en-US" w:eastAsia="zh-CN"/>
        </w:rPr>
      </w:pPr>
      <w:r>
        <w:rPr>
          <w:rFonts w:hint="eastAsia" w:hAnsi="仿宋_GB2312" w:cs="仿宋_GB2312"/>
          <w:sz w:val="32"/>
          <w:szCs w:val="32"/>
          <w:lang w:val="en-US" w:eastAsia="zh-CN"/>
        </w:rPr>
        <w:t>全县共收到信息公开申请127件，其中，予以公开64件，部分公开37件，不予公开12件，无法提供16件，较往年相比信息公开透明度进一步提升。从申请数量看，较去年减少75件，同比下降37%，主要原因是去年同一申请人向各部门大量申请信息公开72件。</w:t>
      </w:r>
    </w:p>
    <w:p>
      <w:pPr>
        <w:rPr>
          <w:rFonts w:hint="eastAsia"/>
          <w:lang w:val="en-US" w:eastAsia="zh-CN"/>
        </w:rPr>
      </w:pPr>
    </w:p>
    <w:p>
      <w:pPr>
        <w:pStyle w:val="3"/>
        <w:ind w:left="0" w:leftChars="0" w:firstLine="0" w:firstLineChars="0"/>
        <w:jc w:val="center"/>
        <w:rPr>
          <w:rFonts w:hint="eastAsia"/>
          <w:lang w:val="en-US" w:eastAsia="zh-CN"/>
        </w:rPr>
      </w:pPr>
      <w:r>
        <w:rPr>
          <w:rFonts w:hint="eastAsia"/>
          <w:lang w:val="en-US" w:eastAsia="zh-CN"/>
        </w:rPr>
        <w:drawing>
          <wp:inline distT="0" distB="0" distL="114300" distR="114300">
            <wp:extent cx="5253355" cy="2661285"/>
            <wp:effectExtent l="4445" t="4445" r="19050" b="20320"/>
            <wp:docPr id="3" name="图表 3" descr="7b0a202020202263686172745265734964223a202232303437323232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620" w:lineRule="exact"/>
        <w:textAlignment w:val="baseline"/>
        <w:rPr>
          <w:rFonts w:hint="eastAsia" w:hAnsi="仿宋_GB2312" w:cs="仿宋_GB2312"/>
          <w:sz w:val="32"/>
          <w:szCs w:val="32"/>
          <w:lang w:val="en-US" w:eastAsia="zh-CN"/>
        </w:rPr>
      </w:pPr>
      <w:r>
        <w:rPr>
          <w:rFonts w:hint="eastAsia" w:hAnsi="仿宋_GB2312" w:cs="仿宋_GB2312"/>
          <w:sz w:val="32"/>
          <w:szCs w:val="32"/>
          <w:lang w:val="en-US" w:eastAsia="zh-CN"/>
        </w:rPr>
        <w:t>从申请内容看，征地拆迁类占全部内容的68%，占比仍居全部内容的首位。本年度通过开展依申请公开培训会，统一制发公开告知书模板等形式规范各级各部门依申请公开办理流程，依法保障群众的知情权，因信息公开申请导致的行政复议和行政诉讼总体呈下降趋势。</w:t>
      </w:r>
    </w:p>
    <w:p>
      <w:pPr>
        <w:pStyle w:val="2"/>
        <w:numPr>
          <w:ilvl w:val="0"/>
          <w:numId w:val="1"/>
        </w:numPr>
        <w:ind w:left="-75" w:leftChars="0" w:firstLineChars="0"/>
      </w:pPr>
      <w:r>
        <w:rPr>
          <w:rFonts w:hint="eastAsia" w:ascii="楷体_GB2312" w:hAnsi="楷体_GB2312" w:eastAsia="楷体_GB2312" w:cs="楷体_GB2312"/>
          <w:sz w:val="32"/>
          <w:szCs w:val="32"/>
          <w:lang w:val="en-US" w:eastAsia="zh-CN"/>
        </w:rPr>
        <w:t>完善发布机制，强化信息管理</w:t>
      </w:r>
    </w:p>
    <w:p/>
    <w:p>
      <w:pPr>
        <w:pStyle w:val="3"/>
        <w:ind w:left="0" w:leftChars="0" w:firstLine="0" w:firstLineChars="0"/>
      </w:pPr>
      <w:r>
        <w:drawing>
          <wp:inline distT="0" distB="0" distL="114300" distR="114300">
            <wp:extent cx="5498465" cy="3491230"/>
            <wp:effectExtent l="0" t="0" r="6985"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rcRect t="1133" r="-721"/>
                    <a:stretch>
                      <a:fillRect/>
                    </a:stretch>
                  </pic:blipFill>
                  <pic:spPr>
                    <a:xfrm>
                      <a:off x="0" y="0"/>
                      <a:ext cx="5498465" cy="3491230"/>
                    </a:xfrm>
                    <a:prstGeom prst="rect">
                      <a:avLst/>
                    </a:prstGeom>
                    <a:noFill/>
                    <a:ln>
                      <a:noFill/>
                    </a:ln>
                  </pic:spPr>
                </pic:pic>
              </a:graphicData>
            </a:graphic>
          </wp:inline>
        </w:drawing>
      </w:r>
    </w:p>
    <w:p>
      <w:pPr>
        <w:pStyle w:val="3"/>
        <w:ind w:left="0" w:leftChars="0" w:firstLine="0" w:firstLineChars="0"/>
        <w:rPr>
          <w:rFonts w:hint="eastAsia"/>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620" w:lineRule="exact"/>
        <w:ind w:firstLine="703"/>
        <w:textAlignment w:val="baseline"/>
        <w:rPr>
          <w:rFonts w:hint="eastAsia" w:hAnsi="仿宋_GB2312" w:cs="仿宋_GB2312"/>
          <w:sz w:val="32"/>
          <w:szCs w:val="32"/>
          <w:lang w:val="en-US" w:eastAsia="zh-CN"/>
        </w:rPr>
      </w:pPr>
      <w:r>
        <w:rPr>
          <w:rFonts w:hint="eastAsia" w:hAnsi="仿宋_GB2312" w:cs="仿宋_GB2312"/>
          <w:sz w:val="32"/>
          <w:szCs w:val="32"/>
          <w:lang w:val="en-US" w:eastAsia="zh-CN"/>
        </w:rPr>
        <w:t>发布《关于加强县政府网站信息审查发布工作的通知》，压实网站公开信息审核责任。整理下发政府网站常见错敏词汇，作为信息公开审查的重点内容。修订完善《2022年度政府信息主动公开基本目录》《2022年度郯城县政务公开“一张清单”》，进一步明确网站信息发布的主要内容、责任主体、完成时限，确保各类信息及时规范发布。定期对规范性文件库进行系统清理、查漏补缺，首次全面发布政府各部门现行有效的规范性文件。</w:t>
      </w:r>
    </w:p>
    <w:p>
      <w:pPr>
        <w:pStyle w:val="2"/>
        <w:keepNext w:val="0"/>
        <w:keepLines w:val="0"/>
        <w:pageBreakBefore w:val="0"/>
        <w:widowControl w:val="0"/>
        <w:numPr>
          <w:ilvl w:val="0"/>
          <w:numId w:val="1"/>
        </w:numPr>
        <w:kinsoku w:val="0"/>
        <w:wordWrap/>
        <w:overflowPunct/>
        <w:topLinePunct w:val="0"/>
        <w:autoSpaceDE w:val="0"/>
        <w:autoSpaceDN w:val="0"/>
        <w:bidi w:val="0"/>
        <w:adjustRightInd w:val="0"/>
        <w:snapToGrid w:val="0"/>
        <w:ind w:left="-75" w:leftChars="0" w:firstLine="703" w:firstLineChars="0"/>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提升管理水平，优化平台建设</w:t>
      </w:r>
    </w:p>
    <w:p>
      <w:pPr>
        <w:pStyle w:val="2"/>
        <w:keepNext w:val="0"/>
        <w:keepLines w:val="0"/>
        <w:pageBreakBefore w:val="0"/>
        <w:widowControl w:val="0"/>
        <w:kinsoku w:val="0"/>
        <w:wordWrap/>
        <w:overflowPunct/>
        <w:topLinePunct w:val="0"/>
        <w:autoSpaceDE w:val="0"/>
        <w:autoSpaceDN w:val="0"/>
        <w:bidi w:val="0"/>
        <w:adjustRightInd w:val="0"/>
        <w:snapToGrid w:val="0"/>
        <w:ind w:firstLine="703"/>
        <w:textAlignment w:val="baseline"/>
        <w:rPr>
          <w:rFonts w:hint="default" w:ascii="仿宋_GB2312" w:hAnsi="仿宋_GB2312" w:eastAsia="仿宋_GB2312" w:cs="仿宋_GB2312"/>
          <w:sz w:val="32"/>
          <w:szCs w:val="32"/>
          <w:lang w:val="en-US" w:eastAsia="zh-CN"/>
        </w:rPr>
      </w:pPr>
      <w:r>
        <w:rPr>
          <w:rFonts w:hint="eastAsia" w:hAnsi="仿宋_GB2312" w:cs="仿宋_GB2312"/>
          <w:sz w:val="32"/>
          <w:szCs w:val="32"/>
          <w:lang w:val="en-US" w:eastAsia="zh-CN"/>
        </w:rPr>
        <w:t>发挥</w:t>
      </w:r>
      <w:r>
        <w:rPr>
          <w:rFonts w:hint="eastAsia" w:ascii="仿宋_GB2312" w:hAnsi="仿宋_GB2312" w:eastAsia="仿宋_GB2312" w:cs="仿宋_GB2312"/>
          <w:sz w:val="32"/>
          <w:szCs w:val="32"/>
          <w:lang w:val="en-US" w:eastAsia="zh-CN"/>
        </w:rPr>
        <w:t>政府网站信息公开</w:t>
      </w:r>
      <w:r>
        <w:rPr>
          <w:rFonts w:hint="eastAsia" w:hAnsi="仿宋_GB2312" w:cs="仿宋_GB2312"/>
          <w:sz w:val="32"/>
          <w:szCs w:val="32"/>
          <w:lang w:val="en-US" w:eastAsia="zh-CN"/>
        </w:rPr>
        <w:t>第一</w:t>
      </w:r>
      <w:r>
        <w:rPr>
          <w:rFonts w:hint="eastAsia" w:ascii="仿宋_GB2312" w:hAnsi="仿宋_GB2312" w:eastAsia="仿宋_GB2312" w:cs="仿宋_GB2312"/>
          <w:sz w:val="32"/>
          <w:szCs w:val="32"/>
          <w:lang w:val="en-US" w:eastAsia="zh-CN"/>
        </w:rPr>
        <w:t>平台作用，推进网站功能</w:t>
      </w:r>
      <w:r>
        <w:rPr>
          <w:rFonts w:hint="eastAsia" w:hAnsi="仿宋_GB2312" w:cs="仿宋_GB2312"/>
          <w:sz w:val="32"/>
          <w:szCs w:val="32"/>
          <w:lang w:val="en-US" w:eastAsia="zh-CN"/>
        </w:rPr>
        <w:t>优化</w:t>
      </w:r>
      <w:r>
        <w:rPr>
          <w:rFonts w:hint="eastAsia" w:ascii="仿宋_GB2312" w:hAnsi="仿宋_GB2312" w:eastAsia="仿宋_GB2312" w:cs="仿宋_GB2312"/>
          <w:sz w:val="32"/>
          <w:szCs w:val="32"/>
          <w:lang w:val="en-US" w:eastAsia="zh-CN"/>
        </w:rPr>
        <w:t>升级，完成适老化改造，提升老年人等特殊人群获取信息的便捷度；新建规划计划、养老服务、减税降费、助企纾困等7处专题，方便公众随时查阅</w:t>
      </w:r>
      <w:r>
        <w:rPr>
          <w:rFonts w:hint="eastAsia" w:hAnsi="仿宋_GB2312" w:cs="仿宋_GB2312"/>
          <w:sz w:val="32"/>
          <w:szCs w:val="32"/>
          <w:lang w:val="en-US" w:eastAsia="zh-CN"/>
        </w:rPr>
        <w:t>所需信息</w:t>
      </w:r>
      <w:r>
        <w:rPr>
          <w:rFonts w:hint="eastAsia" w:ascii="仿宋_GB2312" w:hAnsi="仿宋_GB2312" w:eastAsia="仿宋_GB2312" w:cs="仿宋_GB2312"/>
          <w:sz w:val="32"/>
          <w:szCs w:val="32"/>
          <w:lang w:val="en-US" w:eastAsia="zh-CN"/>
        </w:rPr>
        <w:t>；加强政务新媒体监管，对更新不及时、利用率低的新媒体账号坚决关停，</w:t>
      </w:r>
      <w:r>
        <w:rPr>
          <w:rFonts w:hint="eastAsia" w:hAnsi="仿宋_GB2312" w:cs="仿宋_GB2312"/>
          <w:sz w:val="32"/>
          <w:szCs w:val="32"/>
          <w:lang w:val="en-US" w:eastAsia="zh-CN"/>
        </w:rPr>
        <w:t>全年累计</w:t>
      </w:r>
      <w:r>
        <w:rPr>
          <w:rFonts w:hint="eastAsia" w:ascii="仿宋_GB2312" w:hAnsi="仿宋_GB2312" w:eastAsia="仿宋_GB2312" w:cs="仿宋_GB2312"/>
          <w:sz w:val="32"/>
          <w:szCs w:val="32"/>
          <w:lang w:val="en-US" w:eastAsia="zh-CN"/>
        </w:rPr>
        <w:t>新增备案5个，注销3个，检查政务新媒体1650次</w:t>
      </w:r>
      <w:r>
        <w:rPr>
          <w:rFonts w:hint="eastAsia" w:hAnsi="仿宋_GB2312" w:cs="仿宋_GB2312"/>
          <w:sz w:val="32"/>
          <w:szCs w:val="32"/>
          <w:lang w:val="en-US" w:eastAsia="zh-CN"/>
        </w:rPr>
        <w:t>；</w:t>
      </w:r>
      <w:r>
        <w:rPr>
          <w:rFonts w:hint="eastAsia" w:ascii="仿宋_GB2312" w:hAnsi="仿宋_GB2312" w:eastAsia="仿宋_GB2312" w:cs="仿宋_GB2312"/>
          <w:sz w:val="32"/>
          <w:szCs w:val="32"/>
          <w:lang w:val="en-US" w:eastAsia="zh-CN"/>
        </w:rPr>
        <w:t>编辑出版郯城县政府公报4期，依托基层政务公开专区</w:t>
      </w:r>
      <w:r>
        <w:rPr>
          <w:rFonts w:hint="eastAsia" w:hAnsi="仿宋_GB2312" w:cs="仿宋_GB2312"/>
          <w:sz w:val="32"/>
          <w:szCs w:val="32"/>
          <w:lang w:val="en-US" w:eastAsia="zh-CN"/>
        </w:rPr>
        <w:t>、政府开放日等活动印刷、赠阅</w:t>
      </w:r>
      <w:r>
        <w:rPr>
          <w:rFonts w:hint="eastAsia" w:ascii="仿宋_GB2312" w:hAnsi="仿宋_GB2312" w:eastAsia="仿宋_GB2312" w:cs="仿宋_GB2312"/>
          <w:sz w:val="32"/>
          <w:szCs w:val="32"/>
          <w:lang w:val="en-US" w:eastAsia="zh-CN"/>
        </w:rPr>
        <w:t>2000余册。</w:t>
      </w:r>
    </w:p>
    <w:p>
      <w:pPr>
        <w:pStyle w:val="2"/>
        <w:keepNext w:val="0"/>
        <w:keepLines w:val="0"/>
        <w:pageBreakBefore w:val="0"/>
        <w:widowControl w:val="0"/>
        <w:numPr>
          <w:ilvl w:val="0"/>
          <w:numId w:val="1"/>
        </w:numPr>
        <w:kinsoku w:val="0"/>
        <w:wordWrap/>
        <w:overflowPunct/>
        <w:topLinePunct w:val="0"/>
        <w:autoSpaceDE w:val="0"/>
        <w:autoSpaceDN w:val="0"/>
        <w:bidi w:val="0"/>
        <w:adjustRightInd w:val="0"/>
        <w:snapToGrid w:val="0"/>
        <w:ind w:left="-75" w:leftChars="0" w:firstLine="703" w:firstLineChars="0"/>
        <w:textAlignment w:val="baseline"/>
        <w:rPr>
          <w:rFonts w:hint="default"/>
          <w:sz w:val="32"/>
          <w:szCs w:val="32"/>
          <w:lang w:val="en-US" w:eastAsia="zh-CN"/>
        </w:rPr>
      </w:pPr>
      <w:r>
        <w:rPr>
          <w:rFonts w:hint="eastAsia" w:ascii="楷体_GB2312" w:hAnsi="楷体_GB2312" w:eastAsia="楷体_GB2312" w:cs="楷体_GB2312"/>
          <w:sz w:val="32"/>
          <w:szCs w:val="32"/>
          <w:lang w:val="en-US" w:eastAsia="zh-CN"/>
        </w:rPr>
        <w:t>压实工作责任，强化</w:t>
      </w:r>
      <w:r>
        <w:rPr>
          <w:rFonts w:hint="default" w:ascii="楷体_GB2312" w:hAnsi="楷体_GB2312" w:eastAsia="楷体_GB2312" w:cs="楷体_GB2312"/>
          <w:sz w:val="32"/>
          <w:szCs w:val="32"/>
          <w:lang w:val="en-US" w:eastAsia="zh-CN"/>
        </w:rPr>
        <w:t>监督保障</w:t>
      </w:r>
    </w:p>
    <w:p>
      <w:pPr>
        <w:rPr>
          <w:rFonts w:hint="default"/>
          <w:lang w:val="en-US" w:eastAsia="zh-CN"/>
        </w:rPr>
      </w:pPr>
    </w:p>
    <w:p>
      <w:pPr>
        <w:jc w:val="center"/>
        <w:rPr>
          <w:rFonts w:hint="default"/>
          <w:lang w:val="en-US" w:eastAsia="zh-CN"/>
        </w:rPr>
      </w:pPr>
      <w:r>
        <w:drawing>
          <wp:inline distT="0" distB="0" distL="114300" distR="114300">
            <wp:extent cx="5248275" cy="2989580"/>
            <wp:effectExtent l="0" t="0" r="9525"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8"/>
                    <a:stretch>
                      <a:fillRect/>
                    </a:stretch>
                  </pic:blipFill>
                  <pic:spPr>
                    <a:xfrm>
                      <a:off x="0" y="0"/>
                      <a:ext cx="5248275" cy="298958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ind w:left="0" w:leftChars="0" w:firstLine="640" w:firstLineChars="200"/>
        <w:textAlignment w:val="baseline"/>
        <w:rPr>
          <w:rFonts w:hint="eastAsia" w:hAnsi="宋体" w:cs="仿宋_GB2312"/>
          <w:i w:val="0"/>
          <w:iCs w:val="0"/>
          <w:caps w:val="0"/>
          <w:color w:val="000000"/>
          <w:spacing w:val="0"/>
          <w:sz w:val="32"/>
          <w:szCs w:val="32"/>
          <w:shd w:val="clear" w:fill="FFFFFF"/>
          <w:lang w:val="en-US" w:eastAsia="zh-CN"/>
        </w:rPr>
      </w:pPr>
      <w:r>
        <w:rPr>
          <w:rFonts w:hint="eastAsia" w:hAnsi="宋体" w:cs="仿宋_GB2312"/>
          <w:i w:val="0"/>
          <w:iCs w:val="0"/>
          <w:caps w:val="0"/>
          <w:color w:val="000000"/>
          <w:spacing w:val="0"/>
          <w:sz w:val="32"/>
          <w:szCs w:val="32"/>
          <w:shd w:val="clear" w:fill="FFFFFF"/>
          <w:lang w:val="en-US" w:eastAsia="zh-CN"/>
        </w:rPr>
        <w:t>本年度主要负责同志多次听取政务公开工作情况的汇报并作出批示，要求进一步加大政府信息公开力度。县政府常务会议专题研究决策公开和政策解读工作，规范工作流程，提升解读质量。全县范围内开展政务公开培训会议4次，累计培训300余人。举办政务公开人员集中办公1次，以跟班培训形式提升工作人员业务水平。</w:t>
      </w:r>
    </w:p>
    <w:p>
      <w:pPr>
        <w:rPr>
          <w:rFonts w:hint="eastAsia"/>
          <w:lang w:eastAsia="zh-CN"/>
        </w:rPr>
      </w:pPr>
    </w:p>
    <w:p>
      <w:pPr>
        <w:pStyle w:val="5"/>
        <w:numPr>
          <w:ilvl w:val="0"/>
          <w:numId w:val="2"/>
        </w:numPr>
        <w:shd w:val="clear" w:color="auto" w:fill="FFFFFF"/>
        <w:spacing w:before="0" w:beforeAutospacing="0" w:after="0" w:afterAutospacing="0"/>
        <w:ind w:firstLine="420"/>
        <w:jc w:val="both"/>
        <w:rPr>
          <w:rFonts w:hint="eastAsia" w:ascii="黑体" w:hAnsi="黑体" w:eastAsia="黑体" w:cs="黑体"/>
          <w:bCs/>
          <w:color w:val="333333"/>
          <w:sz w:val="32"/>
          <w:szCs w:val="32"/>
          <w:shd w:val="clear" w:color="auto" w:fill="FFFFFF"/>
        </w:rPr>
      </w:pPr>
      <w:r>
        <w:rPr>
          <w:rFonts w:hint="eastAsia" w:ascii="黑体" w:hAnsi="黑体" w:eastAsia="黑体" w:cs="黑体"/>
          <w:bCs/>
          <w:color w:val="333333"/>
          <w:sz w:val="32"/>
          <w:szCs w:val="32"/>
          <w:shd w:val="clear" w:color="auto" w:fill="FFFFFF"/>
        </w:rPr>
        <w:t>主动公开政府信息情况</w:t>
      </w:r>
    </w:p>
    <w:tbl>
      <w:tblPr>
        <w:tblStyle w:val="6"/>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678"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本年制发件数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本年废止件数</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规章</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Calibri" w:eastAsia="仿宋_GB2312" w:cs="Calibri"/>
                <w:color w:val="auto"/>
                <w:kern w:val="0"/>
                <w:sz w:val="28"/>
                <w:szCs w:val="28"/>
                <w:lang w:eastAsia="zh-CN"/>
              </w:rPr>
            </w:pPr>
            <w:r>
              <w:rPr>
                <w:rFonts w:hint="eastAsia" w:ascii="仿宋_GB2312" w:hAnsi="宋体" w:eastAsia="仿宋_GB2312" w:cs="宋体"/>
                <w:color w:val="auto"/>
                <w:kern w:val="0"/>
                <w:sz w:val="28"/>
                <w:szCs w:val="28"/>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行政规范性文件</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val="en-US" w:eastAsia="zh-CN"/>
              </w:rPr>
              <w:t>3</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val="en-US" w:eastAsia="zh-CN"/>
              </w:rPr>
              <w:t>2</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13</w:t>
            </w:r>
          </w:p>
        </w:tc>
      </w:tr>
      <w:tr>
        <w:tblPrEx>
          <w:tblCellMar>
            <w:top w:w="0" w:type="dxa"/>
            <w:left w:w="108" w:type="dxa"/>
            <w:bottom w:w="0" w:type="dxa"/>
            <w:right w:w="108" w:type="dxa"/>
          </w:tblCellMar>
        </w:tblPrEx>
        <w:trPr>
          <w:trHeight w:val="741"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Calibri" w:eastAsia="仿宋_GB2312" w:cs="Calibri"/>
                <w:color w:val="000000"/>
                <w:kern w:val="0"/>
                <w:sz w:val="28"/>
                <w:szCs w:val="28"/>
                <w:lang w:val="en-US" w:eastAsia="zh-CN"/>
              </w:rPr>
            </w:pPr>
            <w:r>
              <w:rPr>
                <w:rFonts w:hint="eastAsia" w:ascii="仿宋_GB2312" w:hAnsi="宋体" w:eastAsia="仿宋_GB2312" w:cs="宋体"/>
                <w:color w:val="auto"/>
                <w:kern w:val="0"/>
                <w:sz w:val="28"/>
                <w:szCs w:val="28"/>
                <w:lang w:val="en-US" w:eastAsia="zh-CN"/>
              </w:rPr>
              <w:t>36268</w:t>
            </w:r>
          </w:p>
        </w:tc>
      </w:tr>
      <w:tr>
        <w:tblPrEx>
          <w:tblCellMar>
            <w:top w:w="0" w:type="dxa"/>
            <w:left w:w="108" w:type="dxa"/>
            <w:bottom w:w="0" w:type="dxa"/>
            <w:right w:w="108" w:type="dxa"/>
          </w:tblCellMar>
        </w:tblPrEx>
        <w:trPr>
          <w:trHeight w:val="691"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4259</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1409</w:t>
            </w:r>
          </w:p>
        </w:tc>
      </w:tr>
      <w:tr>
        <w:tblPrEx>
          <w:tblCellMar>
            <w:top w:w="0" w:type="dxa"/>
            <w:left w:w="108" w:type="dxa"/>
            <w:bottom w:w="0" w:type="dxa"/>
            <w:right w:w="108" w:type="dxa"/>
          </w:tblCellMar>
        </w:tblPrEx>
        <w:trPr>
          <w:trHeight w:val="726"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default" w:ascii="仿宋_GB2312" w:hAnsi="Calibri" w:eastAsia="仿宋_GB2312" w:cs="Calibri"/>
                <w:color w:val="000000"/>
                <w:kern w:val="0"/>
                <w:sz w:val="28"/>
                <w:szCs w:val="28"/>
                <w:lang w:val="en-US" w:eastAsia="zh-CN"/>
              </w:rPr>
            </w:pPr>
            <w:r>
              <w:rPr>
                <w:rFonts w:hint="eastAsia" w:ascii="仿宋_GB2312" w:hAnsi="Calibri" w:eastAsia="仿宋_GB2312" w:cs="Calibri"/>
                <w:color w:val="auto"/>
                <w:kern w:val="0"/>
                <w:sz w:val="28"/>
                <w:szCs w:val="28"/>
                <w:lang w:val="en-US" w:eastAsia="zh-CN"/>
              </w:rPr>
              <w:t>1982.42261</w:t>
            </w:r>
          </w:p>
        </w:tc>
      </w:tr>
    </w:tbl>
    <w:p>
      <w:pPr>
        <w:rPr>
          <w:rFonts w:hint="eastAsia" w:ascii="黑体" w:hAnsi="黑体" w:eastAsia="黑体" w:cs="黑体"/>
          <w:bCs/>
          <w:color w:val="333333"/>
          <w:kern w:val="0"/>
          <w:sz w:val="32"/>
          <w:szCs w:val="32"/>
          <w:shd w:val="clear" w:color="auto" w:fill="FFFFFF"/>
          <w:lang w:bidi="ar"/>
        </w:rPr>
      </w:pPr>
    </w:p>
    <w:p>
      <w:pPr>
        <w:rPr>
          <w:rFonts w:hint="eastAsia" w:ascii="黑体" w:hAnsi="黑体" w:eastAsia="黑体" w:cs="黑体"/>
          <w:bCs/>
          <w:color w:val="333333"/>
          <w:kern w:val="0"/>
          <w:sz w:val="32"/>
          <w:szCs w:val="32"/>
          <w:shd w:val="clear" w:color="auto" w:fill="FFFFFF"/>
          <w:lang w:bidi="ar"/>
        </w:rPr>
      </w:pPr>
      <w:r>
        <w:rPr>
          <w:rFonts w:hint="eastAsia" w:ascii="黑体" w:hAnsi="黑体" w:eastAsia="黑体" w:cs="黑体"/>
          <w:bCs/>
          <w:color w:val="333333"/>
          <w:kern w:val="0"/>
          <w:sz w:val="32"/>
          <w:szCs w:val="32"/>
          <w:shd w:val="clear" w:color="auto" w:fill="FFFFFF"/>
          <w:lang w:bidi="ar"/>
        </w:rPr>
        <w:br w:type="page"/>
      </w:r>
    </w:p>
    <w:p>
      <w:pPr>
        <w:ind w:firstLine="640" w:firstLineChars="200"/>
        <w:rPr>
          <w:rFonts w:ascii="黑体" w:hAnsi="黑体" w:eastAsia="黑体" w:cs="黑体"/>
          <w:bCs/>
          <w:color w:val="333333"/>
          <w:kern w:val="0"/>
          <w:sz w:val="32"/>
          <w:szCs w:val="32"/>
          <w:shd w:val="clear" w:color="auto" w:fill="FFFFFF"/>
          <w:lang w:bidi="ar"/>
        </w:rPr>
      </w:pPr>
      <w:r>
        <w:rPr>
          <w:rFonts w:hint="eastAsia" w:ascii="黑体" w:hAnsi="黑体" w:eastAsia="黑体" w:cs="黑体"/>
          <w:bCs/>
          <w:color w:val="333333"/>
          <w:kern w:val="0"/>
          <w:sz w:val="32"/>
          <w:szCs w:val="32"/>
          <w:shd w:val="clear" w:color="auto" w:fill="FFFFFF"/>
          <w:lang w:bidi="ar"/>
        </w:rPr>
        <w:t>三、收到和处理政府信息公开申请情况</w:t>
      </w:r>
    </w:p>
    <w:tbl>
      <w:tblPr>
        <w:tblStyle w:val="6"/>
        <w:tblW w:w="94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5"/>
        <w:gridCol w:w="1699"/>
        <w:gridCol w:w="2973"/>
        <w:gridCol w:w="752"/>
        <w:gridCol w:w="540"/>
        <w:gridCol w:w="540"/>
        <w:gridCol w:w="720"/>
        <w:gridCol w:w="675"/>
        <w:gridCol w:w="526"/>
        <w:gridCol w:w="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7" w:type="dxa"/>
            <w:gridSpan w:val="3"/>
            <w:vMerge w:val="restart"/>
            <w:shd w:val="clear" w:color="auto" w:fill="auto"/>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347" w:type="dxa"/>
            <w:gridSpan w:val="7"/>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87"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752"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001" w:type="dxa"/>
            <w:gridSpan w:val="5"/>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594"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87"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752" w:type="dxa"/>
            <w:vMerge w:val="continue"/>
            <w:shd w:val="clear" w:color="auto" w:fill="auto"/>
            <w:tcMar>
              <w:left w:w="108" w:type="dxa"/>
              <w:right w:w="108" w:type="dxa"/>
            </w:tcMar>
            <w:vAlign w:val="center"/>
          </w:tcPr>
          <w:p>
            <w:pPr>
              <w:jc w:val="center"/>
              <w:rPr>
                <w:rFonts w:ascii="黑体" w:hAnsi="黑体" w:eastAsia="黑体"/>
                <w:szCs w:val="21"/>
              </w:rPr>
            </w:pPr>
          </w:p>
        </w:tc>
        <w:tc>
          <w:tcPr>
            <w:tcW w:w="540"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40"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20"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675"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26" w:type="dxa"/>
            <w:shd w:val="clear" w:color="auto" w:fill="auto"/>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594" w:type="dxa"/>
            <w:vMerge w:val="continue"/>
            <w:shd w:val="clear" w:color="auto" w:fill="auto"/>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752"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127</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72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675"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26"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94"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752"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10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72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675"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26"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94"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restart"/>
            <w:shd w:val="clear" w:color="auto" w:fill="auto"/>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2"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752"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64</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72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675"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26"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94"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4672"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752"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37</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72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675"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26"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94" w:type="dxa"/>
            <w:shd w:val="clear" w:color="auto" w:fill="auto"/>
            <w:tcMar>
              <w:left w:w="108" w:type="dxa"/>
              <w:right w:w="108" w:type="dxa"/>
            </w:tcMar>
            <w:vAlign w:val="center"/>
          </w:tcPr>
          <w:p>
            <w:pPr>
              <w:widowControl/>
              <w:jc w:val="center"/>
              <w:rPr>
                <w:rFonts w:hint="default"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1.属于国家秘密</w:t>
            </w:r>
          </w:p>
        </w:tc>
        <w:tc>
          <w:tcPr>
            <w:tcW w:w="752"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2</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4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720"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675"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26"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c>
          <w:tcPr>
            <w:tcW w:w="594" w:type="dxa"/>
            <w:shd w:val="clear" w:color="auto" w:fill="auto"/>
            <w:tcMar>
              <w:left w:w="108" w:type="dxa"/>
              <w:right w:w="108" w:type="dxa"/>
            </w:tcMar>
            <w:vAlign w:val="center"/>
          </w:tcPr>
          <w:p>
            <w:pPr>
              <w:widowControl/>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3.危及“三安全一稳定”</w:t>
            </w:r>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5</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752" w:type="dxa"/>
            <w:shd w:val="clear" w:color="auto" w:fill="auto"/>
            <w:tcMar>
              <w:left w:w="108" w:type="dxa"/>
              <w:right w:w="108" w:type="dxa"/>
            </w:tcMar>
            <w:vAlign w:val="center"/>
          </w:tcPr>
          <w:p>
            <w:pPr>
              <w:widowControl/>
              <w:spacing w:line="24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7.属于行政执法案卷</w:t>
            </w:r>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752" w:type="dxa"/>
            <w:shd w:val="clear" w:color="auto" w:fill="auto"/>
            <w:tcMar>
              <w:left w:w="108" w:type="dxa"/>
              <w:right w:w="108" w:type="dxa"/>
            </w:tcMar>
            <w:vAlign w:val="center"/>
          </w:tcPr>
          <w:p>
            <w:pPr>
              <w:widowControl/>
              <w:spacing w:line="24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13</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2</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2.重复申请</w:t>
            </w:r>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szCs w:val="21"/>
              </w:rPr>
            </w:pPr>
            <w:r>
              <w:rPr>
                <w:rFonts w:hint="eastAsia" w:ascii="仿宋_GB2312" w:hAnsi="黑体" w:eastAsia="仿宋_GB2312"/>
                <w:kern w:val="0"/>
                <w:szCs w:val="21"/>
              </w:rPr>
              <w:t>3.要求提供公开出版物</w:t>
            </w:r>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szCs w:val="21"/>
              </w:rPr>
            </w:pPr>
            <w:r>
              <w:rPr>
                <w:rFonts w:hint="eastAsia" w:ascii="仿宋_GB2312" w:hAnsi="黑体" w:eastAsia="仿宋_GB2312"/>
                <w:kern w:val="0"/>
                <w:szCs w:val="21"/>
              </w:rPr>
              <w:t>4.无正当理由大量反复申请</w:t>
            </w:r>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3" w:type="dxa"/>
            <w:shd w:val="clear" w:color="auto" w:fill="auto"/>
            <w:tcMar>
              <w:left w:w="108" w:type="dxa"/>
              <w:right w:w="108" w:type="dxa"/>
            </w:tcMar>
            <w:vAlign w:val="center"/>
          </w:tcPr>
          <w:p>
            <w:pPr>
              <w:widowControl/>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752"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restart"/>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3" w:type="dxa"/>
            <w:shd w:val="clear" w:color="auto" w:fill="auto"/>
            <w:vAlign w:val="center"/>
          </w:tcPr>
          <w:p>
            <w:pPr>
              <w:widowControl/>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szCs w:val="21"/>
              </w:rPr>
            </w:pPr>
            <w:r>
              <w:rPr>
                <w:rFonts w:hint="eastAsia" w:ascii="仿宋_GB2312" w:hAnsi="Times New Roman" w:eastAsia="仿宋_GB2312"/>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szCs w:val="21"/>
                <w:lang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3" w:type="dxa"/>
            <w:shd w:val="clear" w:color="auto" w:fill="auto"/>
            <w:vAlign w:val="center"/>
          </w:tcPr>
          <w:p>
            <w:pPr>
              <w:widowControl/>
              <w:rPr>
                <w:rFonts w:ascii="仿宋_GB2312" w:hAnsi="黑体" w:eastAsia="仿宋_GB2312"/>
                <w:color w:val="auto"/>
                <w:kern w:val="0"/>
                <w:szCs w:val="21"/>
              </w:rPr>
            </w:pPr>
            <w:r>
              <w:rPr>
                <w:rFonts w:hint="eastAsia" w:ascii="仿宋_GB2312" w:hAnsi="楷体" w:eastAsia="仿宋_GB2312"/>
                <w:color w:val="auto"/>
              </w:rPr>
              <w:t>2.申请人逾期未按收费通知要求缴纳费用、行政机关不再处理其政府信息公开申请</w:t>
            </w:r>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c>
          <w:tcPr>
            <w:tcW w:w="54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c>
          <w:tcPr>
            <w:tcW w:w="54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rPr>
            </w:pPr>
            <w:r>
              <w:rPr>
                <w:rFonts w:hint="eastAsia" w:ascii="仿宋_GB2312" w:hAnsi="Times New Roman" w:eastAsia="仿宋_GB2312"/>
                <w:color w:val="auto"/>
                <w:szCs w:val="21"/>
              </w:rPr>
              <w:t>0</w:t>
            </w:r>
          </w:p>
        </w:tc>
        <w:tc>
          <w:tcPr>
            <w:tcW w:w="72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rPr>
            </w:pPr>
            <w:r>
              <w:rPr>
                <w:rFonts w:hint="eastAsia" w:ascii="仿宋_GB2312" w:hAnsi="Times New Roman" w:eastAsia="仿宋_GB2312"/>
                <w:color w:val="auto"/>
                <w:szCs w:val="21"/>
              </w:rPr>
              <w:t>0</w:t>
            </w:r>
          </w:p>
        </w:tc>
        <w:tc>
          <w:tcPr>
            <w:tcW w:w="675"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rPr>
            </w:pPr>
            <w:r>
              <w:rPr>
                <w:rFonts w:hint="eastAsia" w:ascii="仿宋_GB2312" w:hAnsi="Times New Roman" w:eastAsia="仿宋_GB2312"/>
                <w:color w:val="auto"/>
                <w:szCs w:val="21"/>
              </w:rPr>
              <w:t>0</w:t>
            </w:r>
          </w:p>
        </w:tc>
        <w:tc>
          <w:tcPr>
            <w:tcW w:w="526"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rPr>
            </w:pPr>
            <w:r>
              <w:rPr>
                <w:rFonts w:hint="eastAsia" w:ascii="仿宋_GB2312" w:hAnsi="Times New Roman" w:eastAsia="仿宋_GB2312"/>
                <w:color w:val="auto"/>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1699"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3" w:type="dxa"/>
            <w:shd w:val="clear" w:color="auto" w:fill="auto"/>
            <w:vAlign w:val="center"/>
          </w:tcPr>
          <w:p>
            <w:pPr>
              <w:widowControl/>
              <w:rPr>
                <w:rFonts w:ascii="仿宋_GB2312" w:hAnsi="黑体" w:eastAsia="仿宋_GB2312"/>
                <w:color w:val="auto"/>
                <w:kern w:val="0"/>
                <w:szCs w:val="21"/>
              </w:rPr>
            </w:pPr>
            <w:r>
              <w:rPr>
                <w:rFonts w:hint="eastAsia" w:ascii="仿宋_GB2312" w:hAnsi="楷体" w:eastAsia="仿宋_GB2312"/>
                <w:color w:val="auto"/>
              </w:rPr>
              <w:t>3.其他</w:t>
            </w:r>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3</w:t>
            </w:r>
          </w:p>
        </w:tc>
        <w:tc>
          <w:tcPr>
            <w:tcW w:w="54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5" w:type="dxa"/>
            <w:vMerge w:val="continue"/>
            <w:shd w:val="clear" w:color="auto" w:fill="auto"/>
            <w:tcMar>
              <w:left w:w="108" w:type="dxa"/>
              <w:right w:w="108" w:type="dxa"/>
            </w:tcMar>
            <w:vAlign w:val="center"/>
          </w:tcPr>
          <w:p>
            <w:pPr>
              <w:rPr>
                <w:rFonts w:ascii="黑体" w:hAnsi="黑体" w:eastAsia="黑体"/>
                <w:szCs w:val="21"/>
              </w:rPr>
            </w:pPr>
          </w:p>
        </w:tc>
        <w:tc>
          <w:tcPr>
            <w:tcW w:w="4672" w:type="dxa"/>
            <w:gridSpan w:val="2"/>
            <w:shd w:val="clear" w:color="auto" w:fill="auto"/>
            <w:tcMar>
              <w:left w:w="108" w:type="dxa"/>
              <w:right w:w="108" w:type="dxa"/>
            </w:tcMar>
            <w:vAlign w:val="center"/>
          </w:tcPr>
          <w:p>
            <w:pPr>
              <w:widowControl/>
              <w:spacing w:line="300" w:lineRule="exact"/>
              <w:rPr>
                <w:rFonts w:ascii="黑体" w:hAnsi="黑体" w:eastAsia="黑体"/>
                <w:color w:val="auto"/>
                <w:kern w:val="0"/>
                <w:szCs w:val="21"/>
              </w:rPr>
            </w:pPr>
            <w:r>
              <w:rPr>
                <w:rFonts w:hint="eastAsia" w:ascii="黑体" w:hAnsi="黑体" w:eastAsia="黑体"/>
                <w:color w:val="auto"/>
                <w:kern w:val="0"/>
                <w:szCs w:val="21"/>
              </w:rPr>
              <w:t>（七）总计</w:t>
            </w:r>
          </w:p>
        </w:tc>
        <w:tc>
          <w:tcPr>
            <w:tcW w:w="752" w:type="dxa"/>
            <w:shd w:val="clear" w:color="auto" w:fill="auto"/>
            <w:tcMar>
              <w:left w:w="108" w:type="dxa"/>
              <w:right w:w="108" w:type="dxa"/>
            </w:tcMar>
            <w:vAlign w:val="center"/>
          </w:tcPr>
          <w:p>
            <w:pPr>
              <w:widowControl/>
              <w:spacing w:line="240" w:lineRule="exact"/>
              <w:jc w:val="center"/>
              <w:rPr>
                <w:rFonts w:hint="default"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133</w:t>
            </w:r>
          </w:p>
        </w:tc>
        <w:tc>
          <w:tcPr>
            <w:tcW w:w="54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94" w:type="dxa"/>
            <w:shd w:val="clear" w:color="auto" w:fill="auto"/>
            <w:tcMar>
              <w:left w:w="108" w:type="dxa"/>
              <w:right w:w="108" w:type="dxa"/>
            </w:tcMar>
            <w:vAlign w:val="center"/>
          </w:tcPr>
          <w:p>
            <w:pPr>
              <w:widowControl/>
              <w:spacing w:line="240" w:lineRule="exact"/>
              <w:jc w:val="center"/>
              <w:rPr>
                <w:rFonts w:hint="default"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87" w:type="dxa"/>
            <w:gridSpan w:val="3"/>
            <w:shd w:val="clear" w:color="auto" w:fill="auto"/>
            <w:tcMar>
              <w:left w:w="108" w:type="dxa"/>
              <w:right w:w="108" w:type="dxa"/>
            </w:tcMar>
            <w:vAlign w:val="center"/>
          </w:tcPr>
          <w:p>
            <w:pPr>
              <w:widowControl/>
              <w:spacing w:line="300" w:lineRule="exact"/>
              <w:rPr>
                <w:rFonts w:ascii="黑体" w:hAnsi="黑体" w:eastAsia="黑体"/>
                <w:color w:val="auto"/>
                <w:kern w:val="0"/>
                <w:szCs w:val="21"/>
              </w:rPr>
            </w:pPr>
            <w:r>
              <w:rPr>
                <w:rFonts w:hint="eastAsia" w:ascii="黑体" w:hAnsi="黑体" w:eastAsia="黑体"/>
                <w:color w:val="auto"/>
                <w:kern w:val="0"/>
                <w:szCs w:val="21"/>
              </w:rPr>
              <w:t>四、结转下年度继续办理</w:t>
            </w:r>
          </w:p>
        </w:tc>
        <w:tc>
          <w:tcPr>
            <w:tcW w:w="752"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4</w:t>
            </w:r>
          </w:p>
        </w:tc>
        <w:tc>
          <w:tcPr>
            <w:tcW w:w="540"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0</w:t>
            </w:r>
          </w:p>
        </w:tc>
        <w:tc>
          <w:tcPr>
            <w:tcW w:w="54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720"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675"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26" w:type="dxa"/>
            <w:shd w:val="clear" w:color="auto" w:fill="auto"/>
            <w:tcMar>
              <w:left w:w="108" w:type="dxa"/>
              <w:right w:w="108" w:type="dxa"/>
            </w:tcMar>
            <w:vAlign w:val="center"/>
          </w:tcPr>
          <w:p>
            <w:pPr>
              <w:widowControl/>
              <w:spacing w:line="240" w:lineRule="exact"/>
              <w:jc w:val="center"/>
              <w:rPr>
                <w:rFonts w:ascii="仿宋_GB2312" w:hAnsi="Times New Roman" w:eastAsia="仿宋_GB2312"/>
                <w:color w:val="auto"/>
                <w:szCs w:val="21"/>
              </w:rPr>
            </w:pPr>
            <w:r>
              <w:rPr>
                <w:rFonts w:hint="eastAsia" w:ascii="仿宋_GB2312" w:hAnsi="Times New Roman" w:eastAsia="仿宋_GB2312"/>
                <w:color w:val="auto"/>
                <w:szCs w:val="21"/>
              </w:rPr>
              <w:t>0</w:t>
            </w:r>
          </w:p>
        </w:tc>
        <w:tc>
          <w:tcPr>
            <w:tcW w:w="594" w:type="dxa"/>
            <w:shd w:val="clear" w:color="auto" w:fill="auto"/>
            <w:tcMar>
              <w:left w:w="108" w:type="dxa"/>
              <w:right w:w="108" w:type="dxa"/>
            </w:tcMar>
            <w:vAlign w:val="center"/>
          </w:tcPr>
          <w:p>
            <w:pPr>
              <w:widowControl/>
              <w:spacing w:line="240" w:lineRule="exact"/>
              <w:jc w:val="center"/>
              <w:rPr>
                <w:rFonts w:hint="eastAsia" w:ascii="仿宋_GB2312" w:hAnsi="Times New Roman" w:eastAsia="仿宋_GB2312"/>
                <w:color w:val="auto"/>
                <w:szCs w:val="21"/>
                <w:lang w:eastAsia="zh-CN"/>
              </w:rPr>
            </w:pPr>
            <w:r>
              <w:rPr>
                <w:rFonts w:hint="eastAsia" w:ascii="仿宋_GB2312" w:hAnsi="Times New Roman" w:eastAsia="仿宋_GB2312"/>
                <w:color w:val="auto"/>
                <w:szCs w:val="21"/>
                <w:lang w:val="en-US" w:eastAsia="zh-CN"/>
              </w:rPr>
              <w:t>4</w:t>
            </w:r>
          </w:p>
        </w:tc>
      </w:tr>
    </w:tbl>
    <w:p>
      <w:pPr>
        <w:ind w:firstLine="640" w:firstLineChars="200"/>
        <w:rPr>
          <w:rFonts w:ascii="仿宋_GB2312" w:eastAsia="仿宋_GB2312"/>
          <w:sz w:val="32"/>
          <w:szCs w:val="32"/>
        </w:rPr>
      </w:pPr>
      <w:r>
        <w:rPr>
          <w:rFonts w:hint="eastAsia" w:ascii="黑体" w:hAnsi="黑体" w:eastAsia="黑体" w:cs="黑体"/>
          <w:bCs/>
          <w:color w:val="333333"/>
          <w:kern w:val="0"/>
          <w:sz w:val="32"/>
          <w:szCs w:val="32"/>
          <w:shd w:val="clear" w:color="auto" w:fill="FFFFFF"/>
          <w:lang w:bidi="ar"/>
        </w:rPr>
        <w:t>四、政府信息公开行政复议、行政诉讼情况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3</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3</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6</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hint="default" w:ascii="Times New Roman" w:hAnsi="Times New Roman" w:eastAsia="宋体"/>
                <w:lang w:val="en-US" w:eastAsia="zh-CN"/>
              </w:rPr>
            </w:pPr>
            <w:r>
              <w:rPr>
                <w:rFonts w:hint="eastAsia" w:ascii="Times New Roman" w:hAnsi="Times New Roman" w:eastAsia="宋体"/>
                <w:lang w:val="en-US" w:eastAsia="zh-CN"/>
              </w:rPr>
              <w:t xml:space="preserve"> 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r>
    </w:tbl>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bCs/>
          <w:color w:val="333333"/>
          <w:sz w:val="32"/>
          <w:szCs w:val="32"/>
          <w:shd w:val="clear" w:color="auto" w:fill="FFFFFF"/>
          <w:lang w:bidi="ar"/>
        </w:rPr>
      </w:pPr>
      <w:r>
        <w:rPr>
          <w:rFonts w:hint="eastAsia" w:ascii="黑体" w:hAnsi="黑体" w:eastAsia="黑体" w:cs="黑体"/>
          <w:bCs/>
          <w:color w:val="333333"/>
          <w:sz w:val="32"/>
          <w:szCs w:val="32"/>
          <w:shd w:val="clear" w:color="auto" w:fill="FFFFFF"/>
          <w:lang w:val="en-US" w:eastAsia="zh-CN" w:bidi="ar"/>
        </w:rPr>
        <w:t>五、</w:t>
      </w:r>
      <w:r>
        <w:rPr>
          <w:rFonts w:hint="eastAsia" w:ascii="黑体" w:hAnsi="黑体" w:eastAsia="黑体" w:cs="黑体"/>
          <w:bCs/>
          <w:color w:val="333333"/>
          <w:sz w:val="32"/>
          <w:szCs w:val="32"/>
          <w:shd w:val="clear" w:color="auto" w:fill="FFFFFF"/>
          <w:lang w:bidi="ar"/>
        </w:rPr>
        <w:t>存在的主要问题及改进情况</w:t>
      </w:r>
    </w:p>
    <w:p>
      <w:pPr>
        <w:pStyle w:val="2"/>
        <w:keepNext w:val="0"/>
        <w:keepLines w:val="0"/>
        <w:pageBreakBefore w:val="0"/>
        <w:widowControl w:val="0"/>
        <w:kinsoku/>
        <w:wordWrap/>
        <w:overflowPunct/>
        <w:topLinePunct w:val="0"/>
        <w:autoSpaceDE w:val="0"/>
        <w:autoSpaceDN w:val="0"/>
        <w:bidi w:val="0"/>
        <w:adjustRightInd w:val="0"/>
        <w:snapToGrid w:val="0"/>
        <w:ind w:firstLine="703"/>
        <w:textAlignment w:val="baseline"/>
        <w:rPr>
          <w:rFonts w:hint="eastAsia" w:ascii="仿宋_GB2312" w:hAnsi="仿宋_GB2312" w:eastAsia="仿宋_GB2312" w:cs="仿宋_GB2312"/>
          <w:sz w:val="32"/>
          <w:szCs w:val="32"/>
          <w:lang w:val="en-US" w:eastAsia="zh-CN"/>
        </w:rPr>
      </w:pPr>
      <w:r>
        <w:rPr>
          <w:rFonts w:hint="default" w:ascii="仿宋_GB2312" w:hAnsi="Times New Roman" w:eastAsia="仿宋_GB2312" w:cs="仿宋_GB2312"/>
          <w:i w:val="0"/>
          <w:iCs w:val="0"/>
          <w:caps w:val="0"/>
          <w:color w:val="000000"/>
          <w:spacing w:val="0"/>
          <w:sz w:val="32"/>
          <w:szCs w:val="32"/>
          <w:u w:val="none"/>
          <w:shd w:val="clear" w:fill="FFFFFF"/>
          <w:lang w:val="en-US" w:eastAsia="zh-CN"/>
        </w:rPr>
        <w:t>202</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2年，全县</w:t>
      </w:r>
      <w:r>
        <w:rPr>
          <w:rFonts w:ascii="仿宋_GB2312" w:hAnsi="Times New Roman" w:eastAsia="仿宋_GB2312" w:cs="仿宋_GB2312"/>
          <w:i w:val="0"/>
          <w:iCs w:val="0"/>
          <w:caps w:val="0"/>
          <w:color w:val="000000"/>
          <w:spacing w:val="0"/>
          <w:sz w:val="32"/>
          <w:szCs w:val="32"/>
          <w:u w:val="none"/>
          <w:shd w:val="clear" w:fill="FFFFFF"/>
        </w:rPr>
        <w:t>政府信息公开工作</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虽然</w:t>
      </w:r>
      <w:r>
        <w:rPr>
          <w:rFonts w:ascii="仿宋_GB2312" w:hAnsi="Times New Roman" w:eastAsia="仿宋_GB2312" w:cs="仿宋_GB2312"/>
          <w:i w:val="0"/>
          <w:iCs w:val="0"/>
          <w:caps w:val="0"/>
          <w:color w:val="000000"/>
          <w:spacing w:val="0"/>
          <w:sz w:val="32"/>
          <w:szCs w:val="32"/>
          <w:u w:val="none"/>
          <w:shd w:val="clear" w:fill="FFFFFF"/>
        </w:rPr>
        <w:t>取得了一些成绩，但</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与上级要求和群众期盼相比</w:t>
      </w:r>
      <w:r>
        <w:rPr>
          <w:rFonts w:ascii="仿宋_GB2312" w:hAnsi="Times New Roman" w:eastAsia="仿宋_GB2312" w:cs="仿宋_GB2312"/>
          <w:i w:val="0"/>
          <w:iCs w:val="0"/>
          <w:caps w:val="0"/>
          <w:color w:val="000000"/>
          <w:spacing w:val="0"/>
          <w:sz w:val="32"/>
          <w:szCs w:val="32"/>
          <w:u w:val="none"/>
          <w:shd w:val="clear" w:fill="FFFFFF"/>
        </w:rPr>
        <w:t>，仍然存在一定差距。主要表现在：</w:t>
      </w:r>
      <w:r>
        <w:rPr>
          <w:rFonts w:hint="eastAsia" w:ascii="楷体_GB2312" w:hAnsi="楷体_GB2312" w:eastAsia="楷体_GB2312" w:cs="楷体_GB2312"/>
          <w:i w:val="0"/>
          <w:iCs w:val="0"/>
          <w:caps w:val="0"/>
          <w:color w:val="000000"/>
          <w:spacing w:val="0"/>
          <w:sz w:val="32"/>
          <w:szCs w:val="32"/>
          <w:u w:val="none"/>
          <w:shd w:val="clear" w:fill="FFFFFF"/>
          <w:lang w:val="en-US" w:eastAsia="zh-CN"/>
        </w:rPr>
        <w:t>一是公开意识有待提升。</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部分单位缺少公开主动性，尤其是</w:t>
      </w:r>
      <w:r>
        <w:rPr>
          <w:rFonts w:hint="eastAsia" w:cs="仿宋_GB2312"/>
          <w:i w:val="0"/>
          <w:iCs w:val="0"/>
          <w:caps w:val="0"/>
          <w:color w:val="000000"/>
          <w:spacing w:val="0"/>
          <w:sz w:val="32"/>
          <w:szCs w:val="32"/>
          <w:u w:val="none"/>
          <w:shd w:val="clear" w:fill="FFFFFF"/>
          <w:lang w:val="en-US" w:eastAsia="zh-CN"/>
        </w:rPr>
        <w:t>乡镇工作</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人员调整频繁，</w:t>
      </w:r>
      <w:r>
        <w:rPr>
          <w:rFonts w:hint="eastAsia" w:cs="仿宋_GB2312"/>
          <w:i w:val="0"/>
          <w:iCs w:val="0"/>
          <w:caps w:val="0"/>
          <w:color w:val="000000"/>
          <w:spacing w:val="0"/>
          <w:sz w:val="32"/>
          <w:szCs w:val="32"/>
          <w:u w:val="none"/>
          <w:shd w:val="clear" w:fill="FFFFFF"/>
          <w:lang w:val="en-US" w:eastAsia="zh-CN"/>
        </w:rPr>
        <w:t>业务不够熟练，导致网站信息存在</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内容发布不及时、公开要素不完整、公开渠道不规范</w:t>
      </w:r>
      <w:r>
        <w:rPr>
          <w:rFonts w:hint="eastAsia" w:cs="仿宋_GB2312"/>
          <w:i w:val="0"/>
          <w:iCs w:val="0"/>
          <w:caps w:val="0"/>
          <w:color w:val="000000"/>
          <w:spacing w:val="0"/>
          <w:sz w:val="32"/>
          <w:szCs w:val="32"/>
          <w:u w:val="none"/>
          <w:shd w:val="clear" w:fill="FFFFFF"/>
          <w:lang w:val="en-US" w:eastAsia="zh-CN"/>
        </w:rPr>
        <w:t>等问题；</w:t>
      </w:r>
      <w:r>
        <w:rPr>
          <w:rFonts w:hint="eastAsia" w:ascii="楷体_GB2312" w:hAnsi="楷体_GB2312" w:eastAsia="楷体_GB2312" w:cs="楷体_GB2312"/>
          <w:i w:val="0"/>
          <w:iCs w:val="0"/>
          <w:caps w:val="0"/>
          <w:color w:val="000000"/>
          <w:spacing w:val="0"/>
          <w:sz w:val="32"/>
          <w:szCs w:val="32"/>
          <w:u w:val="none"/>
          <w:shd w:val="clear" w:fill="FFFFFF"/>
          <w:lang w:val="en-US" w:eastAsia="zh-CN"/>
        </w:rPr>
        <w:t>二是政策解读内容形式不够丰富，</w:t>
      </w:r>
      <w:r>
        <w:rPr>
          <w:rFonts w:hint="eastAsia" w:hAnsi="宋体" w:cs="仿宋_GB2312"/>
          <w:i w:val="0"/>
          <w:iCs w:val="0"/>
          <w:caps w:val="0"/>
          <w:color w:val="000000"/>
          <w:spacing w:val="0"/>
          <w:sz w:val="32"/>
          <w:szCs w:val="32"/>
          <w:shd w:val="clear" w:fill="FFFFFF"/>
          <w:lang w:val="en-US" w:eastAsia="zh-CN"/>
        </w:rPr>
        <w:t>利用</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新闻发布会、</w:t>
      </w:r>
      <w:r>
        <w:rPr>
          <w:rFonts w:hint="eastAsia" w:ascii="仿宋_GB2312" w:hAnsi="宋体" w:eastAsia="仿宋_GB2312" w:cs="仿宋_GB2312"/>
          <w:i w:val="0"/>
          <w:iCs w:val="0"/>
          <w:caps w:val="0"/>
          <w:color w:val="000000"/>
          <w:spacing w:val="0"/>
          <w:sz w:val="32"/>
          <w:szCs w:val="32"/>
          <w:shd w:val="clear" w:fill="FFFFFF"/>
        </w:rPr>
        <w:t>专家媒体</w:t>
      </w:r>
      <w:r>
        <w:rPr>
          <w:rFonts w:hint="eastAsia" w:hAnsi="宋体" w:cs="仿宋_GB2312"/>
          <w:i w:val="0"/>
          <w:iCs w:val="0"/>
          <w:caps w:val="0"/>
          <w:color w:val="000000"/>
          <w:spacing w:val="0"/>
          <w:sz w:val="32"/>
          <w:szCs w:val="32"/>
          <w:shd w:val="clear" w:fill="FFFFFF"/>
          <w:lang w:val="en-US" w:eastAsia="zh-CN"/>
        </w:rPr>
        <w:t>解读的数量不够，部分解读材料流于形式，不能针对政策难点、堵点、要点进行深入解读；</w:t>
      </w:r>
      <w:r>
        <w:rPr>
          <w:rFonts w:hint="eastAsia" w:ascii="楷体_GB2312" w:hAnsi="楷体_GB2312" w:eastAsia="楷体_GB2312" w:cs="楷体_GB2312"/>
          <w:i w:val="0"/>
          <w:iCs w:val="0"/>
          <w:caps w:val="0"/>
          <w:color w:val="000000"/>
          <w:spacing w:val="0"/>
          <w:sz w:val="32"/>
          <w:szCs w:val="32"/>
          <w:u w:val="none"/>
          <w:shd w:val="clear" w:fill="FFFFFF"/>
          <w:lang w:val="en-US" w:eastAsia="zh-CN"/>
        </w:rPr>
        <w:t>三是依申请公开办理水平需要提升，</w:t>
      </w:r>
      <w:r>
        <w:rPr>
          <w:rFonts w:hint="eastAsia" w:hAnsi="宋体" w:cs="仿宋_GB2312"/>
          <w:i w:val="0"/>
          <w:iCs w:val="0"/>
          <w:caps w:val="0"/>
          <w:color w:val="000000"/>
          <w:spacing w:val="0"/>
          <w:sz w:val="32"/>
          <w:szCs w:val="32"/>
          <w:shd w:val="clear" w:fill="FFFFFF"/>
          <w:lang w:val="en-US" w:eastAsia="zh-CN"/>
        </w:rPr>
        <w:t>缺少</w:t>
      </w:r>
      <w:r>
        <w:rPr>
          <w:rFonts w:hint="eastAsia" w:ascii="仿宋_GB2312" w:hAnsi="仿宋_GB2312" w:eastAsia="仿宋_GB2312" w:cs="仿宋_GB2312"/>
          <w:sz w:val="32"/>
          <w:szCs w:val="32"/>
          <w:lang w:val="en-US" w:eastAsia="zh-CN"/>
        </w:rPr>
        <w:t>具有法律经验的工作人员</w:t>
      </w:r>
      <w:r>
        <w:rPr>
          <w:rFonts w:hint="eastAsia" w:hAnsi="仿宋_GB2312" w:cs="仿宋_GB2312"/>
          <w:sz w:val="32"/>
          <w:szCs w:val="32"/>
          <w:lang w:val="en-US" w:eastAsia="zh-CN"/>
        </w:rPr>
        <w:t>处理信息公开申请，特别是对</w:t>
      </w:r>
      <w:r>
        <w:rPr>
          <w:rFonts w:hint="eastAsia" w:ascii="仿宋_GB2312" w:hAnsi="仿宋_GB2312" w:eastAsia="仿宋_GB2312" w:cs="仿宋_GB2312"/>
          <w:sz w:val="32"/>
          <w:szCs w:val="32"/>
          <w:lang w:val="en-US" w:eastAsia="zh-CN"/>
        </w:rPr>
        <w:t>具有风险的申请答复以及后续的复议、诉讼</w:t>
      </w:r>
      <w:r>
        <w:rPr>
          <w:rFonts w:hint="eastAsia" w:hAnsi="仿宋_GB2312" w:cs="仿宋_GB2312"/>
          <w:sz w:val="32"/>
          <w:szCs w:val="32"/>
          <w:lang w:val="en-US" w:eastAsia="zh-CN"/>
        </w:rPr>
        <w:t>难以</w:t>
      </w:r>
      <w:r>
        <w:rPr>
          <w:rFonts w:hint="eastAsia" w:ascii="仿宋_GB2312" w:hAnsi="仿宋_GB2312" w:eastAsia="仿宋_GB2312" w:cs="仿宋_GB2312"/>
          <w:sz w:val="32"/>
          <w:szCs w:val="32"/>
          <w:lang w:val="en-US" w:eastAsia="zh-CN"/>
        </w:rPr>
        <w:t>应对。</w:t>
      </w:r>
    </w:p>
    <w:p>
      <w:pPr>
        <w:pStyle w:val="2"/>
        <w:keepNext w:val="0"/>
        <w:keepLines w:val="0"/>
        <w:pageBreakBefore w:val="0"/>
        <w:widowControl w:val="0"/>
        <w:kinsoku/>
        <w:wordWrap/>
        <w:overflowPunct/>
        <w:topLinePunct w:val="0"/>
        <w:autoSpaceDE w:val="0"/>
        <w:autoSpaceDN w:val="0"/>
        <w:bidi w:val="0"/>
        <w:adjustRightInd w:val="0"/>
        <w:snapToGrid w:val="0"/>
        <w:ind w:firstLine="703"/>
        <w:textAlignment w:val="baseline"/>
        <w:rPr>
          <w:rFonts w:hint="eastAsia" w:ascii="黑体" w:hAnsi="黑体" w:eastAsia="黑体" w:cs="黑体"/>
          <w:bCs/>
          <w:color w:val="333333"/>
          <w:sz w:val="32"/>
          <w:szCs w:val="32"/>
          <w:shd w:val="clear" w:color="auto" w:fill="FFFFFF"/>
          <w:lang w:bidi="ar"/>
        </w:rPr>
      </w:pPr>
      <w:r>
        <w:rPr>
          <w:rFonts w:hint="eastAsia" w:ascii="仿宋_GB2312" w:hAnsi="Times New Roman" w:eastAsia="仿宋_GB2312" w:cs="仿宋_GB2312"/>
          <w:i w:val="0"/>
          <w:iCs w:val="0"/>
          <w:caps w:val="0"/>
          <w:color w:val="000000"/>
          <w:spacing w:val="0"/>
          <w:sz w:val="32"/>
          <w:szCs w:val="32"/>
          <w:u w:val="none"/>
          <w:shd w:val="clear" w:fill="FFFFFF"/>
          <w:lang w:val="en-US" w:eastAsia="zh-CN"/>
        </w:rPr>
        <w:t>下一步，郯城县将深入贯彻落实国务院、省、市相关工作要求，进一步改善政务公开工作做法。</w:t>
      </w:r>
      <w:r>
        <w:rPr>
          <w:rFonts w:hint="eastAsia" w:ascii="仿宋_GB2312" w:hAnsi="Times New Roman" w:eastAsia="仿宋_GB2312" w:cs="仿宋_GB2312"/>
          <w:b/>
          <w:bCs/>
          <w:i w:val="0"/>
          <w:iCs w:val="0"/>
          <w:caps w:val="0"/>
          <w:color w:val="000000"/>
          <w:spacing w:val="0"/>
          <w:sz w:val="32"/>
          <w:szCs w:val="32"/>
          <w:u w:val="none"/>
          <w:shd w:val="clear" w:fill="FFFFFF"/>
          <w:lang w:val="en-US" w:eastAsia="zh-CN"/>
        </w:rPr>
        <w:t>一是加强政务公开工作队伍建设，</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针对工作人员调整频繁、业务能力不足等问题，以发放业务操作手册、开展专题培训和集中办公等形式，进一步提升全县政务公开队伍专业化水平。</w:t>
      </w:r>
      <w:r>
        <w:rPr>
          <w:rFonts w:hint="eastAsia" w:ascii="仿宋_GB2312" w:hAnsi="Times New Roman" w:eastAsia="仿宋_GB2312" w:cs="仿宋_GB2312"/>
          <w:b/>
          <w:bCs/>
          <w:i w:val="0"/>
          <w:iCs w:val="0"/>
          <w:caps w:val="0"/>
          <w:color w:val="000000"/>
          <w:spacing w:val="0"/>
          <w:sz w:val="32"/>
          <w:szCs w:val="32"/>
          <w:u w:val="none"/>
          <w:shd w:val="clear" w:fill="FFFFFF"/>
          <w:lang w:val="en-US" w:eastAsia="zh-CN"/>
        </w:rPr>
        <w:t>二是多种方式开展政策解读，</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聚焦社会关注度高、与群众切身利益相关的政策文件，使用多种解读形式，特别是进一步提高新闻发布会、专家、媒体等形式的解读比例，让解读更加生动具体，</w:t>
      </w:r>
      <w:r>
        <w:rPr>
          <w:rFonts w:hint="default" w:ascii="仿宋_GB2312" w:hAnsi="Times New Roman" w:eastAsia="仿宋_GB2312" w:cs="仿宋_GB2312"/>
          <w:i w:val="0"/>
          <w:iCs w:val="0"/>
          <w:caps w:val="0"/>
          <w:color w:val="000000"/>
          <w:spacing w:val="0"/>
          <w:sz w:val="32"/>
          <w:szCs w:val="32"/>
          <w:u w:val="none"/>
          <w:shd w:val="clear" w:fill="FFFFFF"/>
          <w:lang w:val="en-US" w:eastAsia="zh-CN"/>
        </w:rPr>
        <w:t>杜绝简单地复制摘抄文件内容</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w:t>
      </w:r>
      <w:r>
        <w:rPr>
          <w:rFonts w:hint="eastAsia" w:ascii="仿宋_GB2312" w:hAnsi="Times New Roman" w:eastAsia="仿宋_GB2312" w:cs="仿宋_GB2312"/>
          <w:b/>
          <w:bCs/>
          <w:i w:val="0"/>
          <w:iCs w:val="0"/>
          <w:caps w:val="0"/>
          <w:color w:val="000000"/>
          <w:spacing w:val="0"/>
          <w:sz w:val="32"/>
          <w:szCs w:val="32"/>
          <w:u w:val="none"/>
          <w:shd w:val="clear" w:fill="FFFFFF"/>
          <w:lang w:val="en-US" w:eastAsia="zh-CN"/>
        </w:rPr>
        <w:t>三是强化依申请公开培训，</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制定依申请公开培训计划，为工作人员讲解相关</w:t>
      </w:r>
      <w:r>
        <w:rPr>
          <w:rFonts w:hint="default" w:ascii="仿宋_GB2312" w:hAnsi="Times New Roman" w:eastAsia="仿宋_GB2312" w:cs="仿宋_GB2312"/>
          <w:i w:val="0"/>
          <w:iCs w:val="0"/>
          <w:caps w:val="0"/>
          <w:color w:val="000000"/>
          <w:spacing w:val="0"/>
          <w:sz w:val="32"/>
          <w:szCs w:val="32"/>
          <w:u w:val="none"/>
          <w:shd w:val="clear" w:fill="FFFFFF"/>
          <w:lang w:val="en-US" w:eastAsia="zh-CN"/>
        </w:rPr>
        <w:t>政策法规和业务知识</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。统一依申请公开答复模板，开展疑难案例交流会议，有效避免不同行政机关互相推诿的问题，进一步提升各级各部门依申请公开负责人员的办理水平，</w:t>
      </w:r>
      <w:r>
        <w:rPr>
          <w:rFonts w:hint="default" w:ascii="仿宋_GB2312" w:hAnsi="Times New Roman" w:eastAsia="仿宋_GB2312" w:cs="仿宋_GB2312"/>
          <w:i w:val="0"/>
          <w:iCs w:val="0"/>
          <w:caps w:val="0"/>
          <w:color w:val="000000"/>
          <w:spacing w:val="0"/>
          <w:sz w:val="32"/>
          <w:szCs w:val="32"/>
          <w:u w:val="none"/>
          <w:shd w:val="clear" w:fill="FFFFFF"/>
          <w:lang w:val="en-US" w:eastAsia="zh-CN"/>
        </w:rPr>
        <w:t>确保每件答复都经得起推敲</w:t>
      </w:r>
      <w:r>
        <w:rPr>
          <w:rFonts w:hint="eastAsia" w:ascii="仿宋_GB2312" w:hAnsi="Times New Roman" w:eastAsia="仿宋_GB2312" w:cs="仿宋_GB2312"/>
          <w:i w:val="0"/>
          <w:iCs w:val="0"/>
          <w:caps w:val="0"/>
          <w:color w:val="000000"/>
          <w:spacing w:val="0"/>
          <w:sz w:val="32"/>
          <w:szCs w:val="32"/>
          <w:u w:val="none"/>
          <w:shd w:val="clear" w:fill="FFFFFF"/>
          <w:lang w:val="en-US" w:eastAsia="zh-CN"/>
        </w:rPr>
        <w:t>，降低法律风险。</w:t>
      </w:r>
    </w:p>
    <w:p>
      <w:pPr>
        <w:pStyle w:val="5"/>
        <w:shd w:val="clear" w:color="auto" w:fill="FFFFFF"/>
        <w:spacing w:before="0" w:beforeAutospacing="0" w:after="0" w:afterAutospacing="0"/>
        <w:ind w:firstLine="640" w:firstLineChars="200"/>
        <w:jc w:val="both"/>
        <w:rPr>
          <w:rFonts w:ascii="黑体" w:hAnsi="黑体" w:eastAsia="黑体" w:cs="黑体"/>
          <w:bCs/>
          <w:color w:val="333333"/>
          <w:sz w:val="32"/>
          <w:szCs w:val="32"/>
          <w:shd w:val="clear" w:color="auto" w:fill="FFFFFF"/>
          <w:lang w:bidi="ar"/>
        </w:rPr>
      </w:pPr>
      <w:r>
        <w:rPr>
          <w:rFonts w:hint="eastAsia" w:ascii="黑体" w:hAnsi="黑体" w:eastAsia="黑体" w:cs="黑体"/>
          <w:bCs/>
          <w:color w:val="333333"/>
          <w:sz w:val="32"/>
          <w:szCs w:val="32"/>
          <w:shd w:val="clear" w:color="auto" w:fill="FFFFFF"/>
          <w:lang w:bidi="ar"/>
        </w:rPr>
        <w:t>六、其他需要报告的事项</w:t>
      </w:r>
    </w:p>
    <w:p>
      <w:pPr>
        <w:pStyle w:val="2"/>
        <w:numPr>
          <w:ilvl w:val="0"/>
          <w:numId w:val="0"/>
        </w:numPr>
        <w:ind w:left="630" w:leftChars="0"/>
        <w:rPr>
          <w:rFonts w:hint="eastAsia"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（一）收取政府信息处理费情况</w:t>
      </w:r>
    </w:p>
    <w:p>
      <w:pPr>
        <w:pStyle w:val="2"/>
        <w:rPr>
          <w:rFonts w:hint="default" w:ascii="仿宋_GB2312" w:hAnsi="Times New Roman" w:eastAsia="仿宋_GB2312" w:cs="仿宋_GB2312"/>
          <w:i w:val="0"/>
          <w:iCs w:val="0"/>
          <w:caps w:val="0"/>
          <w:color w:val="000000"/>
          <w:spacing w:val="0"/>
          <w:sz w:val="31"/>
          <w:szCs w:val="31"/>
          <w:u w:val="none"/>
          <w:shd w:val="clear" w:fill="FFFFFF"/>
          <w:lang w:val="en-US" w:eastAsia="zh-CN"/>
        </w:rPr>
      </w:pPr>
      <w:r>
        <w:rPr>
          <w:rFonts w:hint="default" w:ascii="仿宋_GB2312" w:hAnsi="Times New Roman" w:eastAsia="仿宋_GB2312" w:cs="仿宋_GB2312"/>
          <w:i w:val="0"/>
          <w:iCs w:val="0"/>
          <w:caps w:val="0"/>
          <w:color w:val="000000"/>
          <w:spacing w:val="0"/>
          <w:sz w:val="31"/>
          <w:szCs w:val="31"/>
          <w:u w:val="none"/>
          <w:shd w:val="clear" w:fill="FFFFFF"/>
          <w:lang w:val="en-US" w:eastAsia="zh-CN"/>
        </w:rPr>
        <w:t>本年度我</w:t>
      </w:r>
      <w:r>
        <w:rPr>
          <w:rFonts w:hint="eastAsia" w:ascii="仿宋_GB2312" w:hAnsi="Times New Roman" w:eastAsia="仿宋_GB2312" w:cs="仿宋_GB2312"/>
          <w:i w:val="0"/>
          <w:iCs w:val="0"/>
          <w:caps w:val="0"/>
          <w:color w:val="000000"/>
          <w:spacing w:val="0"/>
          <w:sz w:val="31"/>
          <w:szCs w:val="31"/>
          <w:u w:val="none"/>
          <w:shd w:val="clear" w:fill="FFFFFF"/>
          <w:lang w:val="en-US" w:eastAsia="zh-CN"/>
        </w:rPr>
        <w:t>县</w:t>
      </w:r>
      <w:r>
        <w:rPr>
          <w:rFonts w:hint="default" w:ascii="仿宋_GB2312" w:hAnsi="Times New Roman" w:eastAsia="仿宋_GB2312" w:cs="仿宋_GB2312"/>
          <w:i w:val="0"/>
          <w:iCs w:val="0"/>
          <w:caps w:val="0"/>
          <w:color w:val="000000"/>
          <w:spacing w:val="0"/>
          <w:sz w:val="31"/>
          <w:szCs w:val="31"/>
          <w:u w:val="none"/>
          <w:shd w:val="clear" w:fill="FFFFFF"/>
          <w:lang w:val="en-US" w:eastAsia="zh-CN"/>
        </w:rPr>
        <w:t>未出现任何收取信息处理费的情况。</w:t>
      </w:r>
    </w:p>
    <w:p>
      <w:pPr>
        <w:pStyle w:val="2"/>
        <w:numPr>
          <w:ilvl w:val="0"/>
          <w:numId w:val="0"/>
        </w:numPr>
        <w:ind w:left="630" w:leftChars="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（二）建议提案办理情况</w:t>
      </w:r>
    </w:p>
    <w:p>
      <w:pPr>
        <w:numPr>
          <w:ilvl w:val="0"/>
          <w:numId w:val="0"/>
        </w:numPr>
        <w:rPr>
          <w:rFonts w:hint="eastAsia"/>
          <w:lang w:val="en-US" w:eastAsia="zh-CN"/>
        </w:rPr>
      </w:pPr>
      <w:r>
        <w:drawing>
          <wp:inline distT="0" distB="0" distL="114300" distR="114300">
            <wp:extent cx="5529580" cy="3333115"/>
            <wp:effectExtent l="0" t="0" r="13970"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529580" cy="3333115"/>
                    </a:xfrm>
                    <a:prstGeom prst="rect">
                      <a:avLst/>
                    </a:prstGeom>
                    <a:noFill/>
                    <a:ln>
                      <a:noFill/>
                    </a:ln>
                  </pic:spPr>
                </pic:pic>
              </a:graphicData>
            </a:graphic>
          </wp:inline>
        </w:drawing>
      </w:r>
    </w:p>
    <w:p>
      <w:pPr>
        <w:pStyle w:val="2"/>
        <w:rPr>
          <w:rFonts w:hint="eastAsia" w:hAnsi="宋体" w:cs="仿宋_GB2312"/>
          <w:i w:val="0"/>
          <w:iCs w:val="0"/>
          <w:caps w:val="0"/>
          <w:color w:val="000000"/>
          <w:spacing w:val="0"/>
          <w:sz w:val="32"/>
          <w:szCs w:val="32"/>
          <w:shd w:val="clear" w:fill="FFFFFF"/>
          <w:lang w:val="en-US" w:eastAsia="zh-CN"/>
        </w:rPr>
      </w:pPr>
      <w:r>
        <w:rPr>
          <w:rFonts w:hint="eastAsia" w:hAnsi="宋体" w:cs="仿宋_GB2312"/>
          <w:i w:val="0"/>
          <w:iCs w:val="0"/>
          <w:caps w:val="0"/>
          <w:color w:val="000000"/>
          <w:spacing w:val="0"/>
          <w:sz w:val="32"/>
          <w:szCs w:val="32"/>
          <w:shd w:val="clear" w:fill="FFFFFF"/>
          <w:lang w:val="en-US" w:eastAsia="zh-CN"/>
        </w:rPr>
        <w:t>本年度</w:t>
      </w:r>
      <w:r>
        <w:rPr>
          <w:rFonts w:hint="eastAsia" w:ascii="仿宋_GB2312" w:hAnsi="宋体" w:eastAsia="仿宋_GB2312" w:cs="仿宋_GB2312"/>
          <w:i w:val="0"/>
          <w:iCs w:val="0"/>
          <w:caps w:val="0"/>
          <w:color w:val="000000"/>
          <w:spacing w:val="0"/>
          <w:sz w:val="32"/>
          <w:szCs w:val="32"/>
          <w:shd w:val="clear" w:fill="FFFFFF"/>
        </w:rPr>
        <w:t>共办理</w:t>
      </w:r>
      <w:r>
        <w:rPr>
          <w:rFonts w:hint="eastAsia" w:ascii="仿宋_GB2312" w:hAnsi="宋体" w:eastAsia="仿宋_GB2312" w:cs="仿宋_GB2312"/>
          <w:i w:val="0"/>
          <w:iCs w:val="0"/>
          <w:caps w:val="0"/>
          <w:color w:val="000000"/>
          <w:spacing w:val="0"/>
          <w:sz w:val="32"/>
          <w:szCs w:val="32"/>
          <w:shd w:val="clear" w:fill="FFFFFF"/>
          <w:lang w:val="en-US" w:eastAsia="zh-CN"/>
        </w:rPr>
        <w:t>县</w:t>
      </w:r>
      <w:r>
        <w:rPr>
          <w:rFonts w:hint="eastAsia" w:ascii="仿宋_GB2312" w:hAnsi="宋体" w:eastAsia="仿宋_GB2312" w:cs="仿宋_GB2312"/>
          <w:i w:val="0"/>
          <w:iCs w:val="0"/>
          <w:caps w:val="0"/>
          <w:color w:val="000000"/>
          <w:spacing w:val="0"/>
          <w:sz w:val="32"/>
          <w:szCs w:val="32"/>
          <w:shd w:val="clear" w:fill="FFFFFF"/>
        </w:rPr>
        <w:t>人大代表建议86件、</w:t>
      </w:r>
      <w:r>
        <w:rPr>
          <w:rFonts w:hint="eastAsia" w:ascii="仿宋_GB2312" w:hAnsi="宋体" w:eastAsia="仿宋_GB2312" w:cs="仿宋_GB2312"/>
          <w:i w:val="0"/>
          <w:iCs w:val="0"/>
          <w:caps w:val="0"/>
          <w:color w:val="000000"/>
          <w:spacing w:val="0"/>
          <w:sz w:val="32"/>
          <w:szCs w:val="32"/>
          <w:shd w:val="clear" w:fill="FFFFFF"/>
          <w:lang w:val="en-US" w:eastAsia="zh-CN"/>
        </w:rPr>
        <w:t>县</w:t>
      </w:r>
      <w:r>
        <w:rPr>
          <w:rFonts w:hint="eastAsia" w:ascii="仿宋_GB2312" w:hAnsi="宋体" w:eastAsia="仿宋_GB2312" w:cs="仿宋_GB2312"/>
          <w:i w:val="0"/>
          <w:iCs w:val="0"/>
          <w:caps w:val="0"/>
          <w:color w:val="000000"/>
          <w:spacing w:val="0"/>
          <w:sz w:val="32"/>
          <w:szCs w:val="32"/>
          <w:shd w:val="clear" w:fill="FFFFFF"/>
        </w:rPr>
        <w:t>政协提案210件，</w:t>
      </w:r>
      <w:r>
        <w:rPr>
          <w:rFonts w:hint="eastAsia" w:ascii="仿宋_GB2312" w:hAnsi="宋体" w:eastAsia="仿宋_GB2312" w:cs="仿宋_GB2312"/>
          <w:i w:val="0"/>
          <w:iCs w:val="0"/>
          <w:caps w:val="0"/>
          <w:color w:val="000000"/>
          <w:spacing w:val="0"/>
          <w:sz w:val="32"/>
          <w:szCs w:val="32"/>
          <w:shd w:val="clear" w:fill="FFFFFF"/>
          <w:lang w:val="en-US" w:eastAsia="zh-CN"/>
        </w:rPr>
        <w:t>答复满意率100%，</w:t>
      </w:r>
      <w:r>
        <w:rPr>
          <w:rFonts w:hint="eastAsia" w:ascii="仿宋_GB2312" w:hAnsi="宋体" w:eastAsia="仿宋_GB2312" w:cs="仿宋_GB2312"/>
          <w:i w:val="0"/>
          <w:iCs w:val="0"/>
          <w:caps w:val="0"/>
          <w:color w:val="000000"/>
          <w:spacing w:val="0"/>
          <w:sz w:val="32"/>
          <w:szCs w:val="32"/>
          <w:shd w:val="clear" w:fill="FFFFFF"/>
        </w:rPr>
        <w:t>建议提案办理结果</w:t>
      </w:r>
      <w:r>
        <w:rPr>
          <w:rFonts w:hint="eastAsia" w:hAnsi="宋体" w:cs="仿宋_GB2312"/>
          <w:i w:val="0"/>
          <w:iCs w:val="0"/>
          <w:caps w:val="0"/>
          <w:color w:val="000000"/>
          <w:spacing w:val="0"/>
          <w:sz w:val="32"/>
          <w:szCs w:val="32"/>
          <w:shd w:val="clear" w:fill="FFFFFF"/>
          <w:lang w:val="en-US" w:eastAsia="zh-CN"/>
        </w:rPr>
        <w:t>复文全文或摘要均</w:t>
      </w:r>
      <w:r>
        <w:rPr>
          <w:rFonts w:hint="eastAsia" w:ascii="仿宋_GB2312" w:hAnsi="宋体" w:eastAsia="仿宋_GB2312" w:cs="仿宋_GB2312"/>
          <w:i w:val="0"/>
          <w:iCs w:val="0"/>
          <w:caps w:val="0"/>
          <w:color w:val="000000"/>
          <w:spacing w:val="0"/>
          <w:sz w:val="32"/>
          <w:szCs w:val="32"/>
          <w:shd w:val="clear" w:fill="FFFFFF"/>
        </w:rPr>
        <w:t>通过政府信息公开平台“建议提案办理”</w:t>
      </w:r>
      <w:r>
        <w:rPr>
          <w:rFonts w:hint="eastAsia" w:hAnsi="宋体" w:cs="仿宋_GB2312"/>
          <w:i w:val="0"/>
          <w:iCs w:val="0"/>
          <w:caps w:val="0"/>
          <w:color w:val="000000"/>
          <w:spacing w:val="0"/>
          <w:sz w:val="32"/>
          <w:szCs w:val="32"/>
          <w:shd w:val="clear" w:fill="FFFFFF"/>
          <w:lang w:val="en-US" w:eastAsia="zh-CN"/>
        </w:rPr>
        <w:t>专题进行</w:t>
      </w:r>
      <w:r>
        <w:rPr>
          <w:rFonts w:hint="eastAsia" w:ascii="仿宋_GB2312" w:hAnsi="宋体" w:eastAsia="仿宋_GB2312" w:cs="仿宋_GB2312"/>
          <w:i w:val="0"/>
          <w:iCs w:val="0"/>
          <w:caps w:val="0"/>
          <w:color w:val="000000"/>
          <w:spacing w:val="0"/>
          <w:sz w:val="32"/>
          <w:szCs w:val="32"/>
          <w:shd w:val="clear" w:fill="FFFFFF"/>
        </w:rPr>
        <w:t>集中、统一、规范公开。</w:t>
      </w:r>
      <w:r>
        <w:rPr>
          <w:rFonts w:hint="eastAsia" w:hAnsi="宋体" w:cs="仿宋_GB2312"/>
          <w:i w:val="0"/>
          <w:iCs w:val="0"/>
          <w:caps w:val="0"/>
          <w:color w:val="000000"/>
          <w:spacing w:val="0"/>
          <w:sz w:val="32"/>
          <w:szCs w:val="32"/>
          <w:shd w:val="clear" w:fill="FFFFFF"/>
          <w:lang w:val="en-US" w:eastAsia="zh-CN"/>
        </w:rPr>
        <w:t>此外，进一步改善“建议提案办理”专题检索的可用性和智能化水平，新增按照会议期次、编号关键词、承办单位搜索的检索功能。</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（三）落实上级年度政务公开工作要点情况</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按照《临沂市人民政府办公室关于印发2022年临沂市政务公开工作要点的通知》（临政办函〔2022〕113号）要求，结合全县实际，出台《2022年郯城县政务公开工作要点》，并全面落实要点任务。</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一是夯实制度基础。</w:t>
      </w:r>
      <w:r>
        <w:rPr>
          <w:rFonts w:hint="eastAsia" w:ascii="仿宋_GB2312" w:hAnsi="仿宋_GB2312" w:eastAsia="仿宋_GB2312" w:cs="仿宋_GB2312"/>
          <w:sz w:val="32"/>
          <w:szCs w:val="32"/>
          <w:lang w:val="en-US" w:eastAsia="zh-CN"/>
        </w:rPr>
        <w:t>本年度先后制定了《郯城县政府网站信息发布审查制度》《郯城县政府信息公开申请协助调查回复工作制度》</w:t>
      </w:r>
      <w:bookmarkStart w:id="10" w:name="_GoBack"/>
      <w:bookmarkEnd w:id="10"/>
      <w:r>
        <w:rPr>
          <w:rFonts w:hint="eastAsia" w:ascii="仿宋_GB2312" w:hAnsi="仿宋_GB2312" w:eastAsia="仿宋_GB2312" w:cs="仿宋_GB2312"/>
          <w:sz w:val="32"/>
          <w:szCs w:val="32"/>
          <w:lang w:val="en-US" w:eastAsia="zh-CN"/>
        </w:rPr>
        <w:t>《关于进一步规范和加强政策解读工作的通知》等政务公开配套制度，从主动公开、依申请公开、公众参与、平台建设、政策解读等方面进行设计和安排，让政务公开工作推进有章可循。</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二是加强信息管理。</w:t>
      </w:r>
      <w:r>
        <w:rPr>
          <w:rFonts w:hint="eastAsia" w:ascii="仿宋_GB2312" w:hAnsi="仿宋_GB2312" w:eastAsia="仿宋_GB2312" w:cs="仿宋_GB2312"/>
          <w:sz w:val="32"/>
          <w:szCs w:val="32"/>
          <w:lang w:val="en-US" w:eastAsia="zh-CN"/>
        </w:rPr>
        <w:t>规范政府信息公开平台设置，加强资源标准化、信息化管理，充分发挥政府信息资源对公众生产生活的服务作用。精准推送政策文件。依托郯城县政策文件库，全面公开县政府及县政府各单位出台的政策文件1000余件。开设智能问答平台，上线智能问答机器人，整理、采集政府信息公开、政务服务事项、便民服务内容等热点问题，将最优答案提供给用户。</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楷体_GB2312" w:hAnsi="楷体_GB2312" w:eastAsia="楷体_GB2312" w:cs="楷体_GB2312"/>
          <w:sz w:val="32"/>
          <w:szCs w:val="32"/>
          <w:lang w:val="en-US" w:eastAsia="zh-CN"/>
        </w:rPr>
      </w:pPr>
      <w:r>
        <w:rPr>
          <w:rFonts w:hint="eastAsia" w:ascii="仿宋_GB2312" w:hAnsi="仿宋_GB2312" w:eastAsia="仿宋_GB2312" w:cs="仿宋_GB2312"/>
          <w:b/>
          <w:bCs/>
          <w:sz w:val="32"/>
          <w:szCs w:val="32"/>
          <w:lang w:val="en-US" w:eastAsia="zh-CN"/>
        </w:rPr>
        <w:t>三是推进主动公开。</w:t>
      </w:r>
      <w:r>
        <w:rPr>
          <w:rFonts w:hint="eastAsia" w:ascii="仿宋_GB2312" w:hAnsi="仿宋_GB2312" w:eastAsia="仿宋_GB2312" w:cs="仿宋_GB2312"/>
          <w:sz w:val="32"/>
          <w:szCs w:val="32"/>
          <w:lang w:val="en-US" w:eastAsia="zh-CN"/>
        </w:rPr>
        <w:t>围绕老年人福利、城乡低保、义务教育等重点领域，全面公开福利政策，补贴发放等重点领域信息7258条。围绕扩大有效投资、优化营商环境等惠民利企政策加大解读力度，明确解读责任主体和内容，全县政策解读质量大幅提升，政策传播效果明显增强。建立公共企事业单位信息公开专题，公开教育、卫生健康、水电气热及公共交通领域42家单位重点信息1000余条。着力推进文化旅游、新闻广播、水利等领域信息公开，政务公开的广度稳步拓展，标准引领的作用更加凸显。</w:t>
      </w:r>
    </w:p>
    <w:p>
      <w:pPr>
        <w:pStyle w:val="2"/>
        <w:numPr>
          <w:ilvl w:val="0"/>
          <w:numId w:val="0"/>
        </w:numPr>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w:t>
      </w:r>
      <w:r>
        <w:rPr>
          <w:rFonts w:hint="default" w:ascii="楷体_GB2312" w:hAnsi="楷体_GB2312" w:eastAsia="楷体_GB2312" w:cs="楷体_GB2312"/>
          <w:sz w:val="32"/>
          <w:szCs w:val="32"/>
          <w:lang w:val="en-US" w:eastAsia="zh-CN"/>
        </w:rPr>
        <w:t>政务公开工作创新情况</w:t>
      </w:r>
    </w:p>
    <w:p>
      <w:pPr>
        <w:pStyle w:val="4"/>
        <w:rPr>
          <w:rFonts w:hint="default"/>
          <w:lang w:val="en-US" w:eastAsia="zh-CN"/>
        </w:rPr>
      </w:pPr>
      <w:r>
        <w:drawing>
          <wp:inline distT="0" distB="0" distL="114300" distR="114300">
            <wp:extent cx="5166360" cy="3365500"/>
            <wp:effectExtent l="0" t="0" r="1524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rcRect l="2194" r="-785"/>
                    <a:stretch>
                      <a:fillRect/>
                    </a:stretch>
                  </pic:blipFill>
                  <pic:spPr>
                    <a:xfrm>
                      <a:off x="0" y="0"/>
                      <a:ext cx="5166360" cy="3365500"/>
                    </a:xfrm>
                    <a:prstGeom prst="rect">
                      <a:avLst/>
                    </a:prstGeom>
                    <a:noFill/>
                    <a:ln>
                      <a:noFill/>
                    </a:ln>
                  </pic:spPr>
                </pic:pic>
              </a:graphicData>
            </a:graphic>
          </wp:inline>
        </w:drawing>
      </w:r>
    </w:p>
    <w:p>
      <w:pPr>
        <w:pStyle w:val="2"/>
        <w:rPr>
          <w:rFonts w:hint="default"/>
          <w:lang w:val="en-US" w:eastAsia="zh-CN"/>
        </w:rPr>
      </w:pPr>
      <w:r>
        <w:rPr>
          <w:rFonts w:hint="eastAsia" w:hAnsi="宋体" w:cs="仿宋_GB2312"/>
          <w:i w:val="0"/>
          <w:iCs w:val="0"/>
          <w:caps w:val="0"/>
          <w:color w:val="000000"/>
          <w:spacing w:val="0"/>
          <w:sz w:val="32"/>
          <w:szCs w:val="32"/>
          <w:shd w:val="clear" w:fill="FFFFFF"/>
          <w:lang w:val="en-US" w:eastAsia="zh-CN"/>
        </w:rPr>
        <w:t>1、持续规范政务公开工作，提升</w:t>
      </w:r>
      <w:r>
        <w:rPr>
          <w:rFonts w:hint="eastAsia" w:ascii="仿宋_GB2312" w:hAnsi="仿宋_GB2312" w:eastAsia="仿宋_GB2312" w:cs="仿宋_GB2312"/>
          <w:sz w:val="32"/>
          <w:szCs w:val="32"/>
          <w:lang w:val="en-US" w:eastAsia="zh-CN"/>
        </w:rPr>
        <w:t>全县政务公开工作标准化规范化水平</w:t>
      </w:r>
      <w:r>
        <w:rPr>
          <w:rFonts w:hint="eastAsia" w:hAnsi="仿宋_GB2312" w:cs="仿宋_GB2312"/>
          <w:sz w:val="32"/>
          <w:szCs w:val="32"/>
          <w:lang w:val="en-US" w:eastAsia="zh-CN"/>
        </w:rPr>
        <w:t>。</w:t>
      </w:r>
      <w:r>
        <w:rPr>
          <w:rFonts w:hint="eastAsia" w:hAnsi="宋体" w:cs="仿宋_GB2312"/>
          <w:b/>
          <w:bCs/>
          <w:i w:val="0"/>
          <w:iCs w:val="0"/>
          <w:caps w:val="0"/>
          <w:color w:val="000000"/>
          <w:spacing w:val="0"/>
          <w:sz w:val="32"/>
          <w:szCs w:val="32"/>
          <w:shd w:val="clear" w:fill="FFFFFF"/>
          <w:lang w:val="en-US" w:eastAsia="zh-CN"/>
        </w:rPr>
        <w:t>政策解读工作方面，</w:t>
      </w:r>
      <w:r>
        <w:rPr>
          <w:rFonts w:hint="eastAsia" w:hAnsi="宋体" w:cs="仿宋_GB2312"/>
          <w:i w:val="0"/>
          <w:iCs w:val="0"/>
          <w:caps w:val="0"/>
          <w:color w:val="000000"/>
          <w:spacing w:val="0"/>
          <w:sz w:val="32"/>
          <w:szCs w:val="32"/>
          <w:shd w:val="clear" w:fill="FFFFFF"/>
          <w:lang w:val="en-US" w:eastAsia="zh-CN"/>
        </w:rPr>
        <w:t>印发《郯城县人民政府办公室关于进一步规范和加强政策解读工作的通知》，对解读主体责任、解读内容、解读形式进行规定，有效解决了解读发布时效性不强、解读形式单一、内容质量不高等问题。对文件制发流程进行规范，</w:t>
      </w:r>
      <w:r>
        <w:rPr>
          <w:rFonts w:hint="eastAsia" w:ascii="仿宋_GB2312" w:hAnsi="仿宋_GB2312" w:eastAsia="仿宋_GB2312" w:cs="仿宋_GB2312"/>
          <w:sz w:val="32"/>
          <w:szCs w:val="32"/>
          <w:lang w:val="en-US" w:eastAsia="zh-CN"/>
        </w:rPr>
        <w:t>坚持政策性文件与解读方案、解读材料同步组织、同步审签、同步部署原则，</w:t>
      </w:r>
      <w:r>
        <w:rPr>
          <w:rFonts w:hint="eastAsia" w:hAnsi="宋体" w:cs="仿宋_GB2312"/>
          <w:i w:val="0"/>
          <w:iCs w:val="0"/>
          <w:caps w:val="0"/>
          <w:color w:val="000000"/>
          <w:spacing w:val="0"/>
          <w:sz w:val="32"/>
          <w:szCs w:val="32"/>
          <w:shd w:val="clear" w:fill="FFFFFF"/>
          <w:lang w:val="en-US" w:eastAsia="zh-CN"/>
        </w:rPr>
        <w:t>提升政策解读工作质量和效果。</w:t>
      </w:r>
      <w:r>
        <w:rPr>
          <w:rFonts w:hint="eastAsia" w:hAnsi="宋体" w:cs="仿宋_GB2312"/>
          <w:b/>
          <w:bCs/>
          <w:i w:val="0"/>
          <w:iCs w:val="0"/>
          <w:caps w:val="0"/>
          <w:color w:val="000000"/>
          <w:spacing w:val="0"/>
          <w:sz w:val="32"/>
          <w:szCs w:val="32"/>
          <w:shd w:val="clear" w:fill="FFFFFF"/>
          <w:lang w:val="en-US" w:eastAsia="zh-CN"/>
        </w:rPr>
        <w:t>常务会议公开方面</w:t>
      </w:r>
      <w:r>
        <w:rPr>
          <w:rFonts w:hint="eastAsia" w:hAnsi="宋体" w:cs="仿宋_GB2312"/>
          <w:i w:val="0"/>
          <w:iCs w:val="0"/>
          <w:caps w:val="0"/>
          <w:color w:val="000000"/>
          <w:spacing w:val="0"/>
          <w:sz w:val="32"/>
          <w:szCs w:val="32"/>
          <w:shd w:val="clear" w:fill="FFFFFF"/>
          <w:lang w:val="en-US" w:eastAsia="zh-CN"/>
        </w:rPr>
        <w:t>，</w:t>
      </w:r>
      <w:r>
        <w:rPr>
          <w:rFonts w:hint="eastAsia" w:ascii="仿宋_GB2312" w:hAnsi="仿宋_GB2312" w:eastAsia="仿宋_GB2312" w:cs="仿宋_GB2312"/>
          <w:sz w:val="32"/>
          <w:szCs w:val="32"/>
          <w:lang w:val="en-US" w:eastAsia="zh-CN"/>
        </w:rPr>
        <w:t>印发《郯城县人民政府办公室关于进一步规范县政府常务会议公开有关事项的通知》，</w:t>
      </w:r>
      <w:r>
        <w:rPr>
          <w:rFonts w:hint="eastAsia" w:hAnsi="宋体" w:cs="仿宋_GB2312"/>
          <w:i w:val="0"/>
          <w:iCs w:val="0"/>
          <w:caps w:val="0"/>
          <w:color w:val="000000"/>
          <w:spacing w:val="0"/>
          <w:sz w:val="32"/>
          <w:szCs w:val="32"/>
          <w:shd w:val="clear" w:fill="FFFFFF"/>
          <w:lang w:val="en-US" w:eastAsia="zh-CN"/>
        </w:rPr>
        <w:t>完善议题提报程序，明确县政府常务会议“开门决策”事项范围、确定公众代表遴选方式，及时跟进解读公开议题，进一步提高行政决策质量和效率。</w:t>
      </w:r>
    </w:p>
    <w:p>
      <w:pPr>
        <w:numPr>
          <w:ilvl w:val="0"/>
          <w:numId w:val="0"/>
        </w:numPr>
        <w:rPr>
          <w:rFonts w:hint="default"/>
          <w:lang w:val="en-US" w:eastAsia="zh-CN"/>
        </w:rPr>
      </w:pPr>
      <w:r>
        <w:rPr>
          <w:rFonts w:hint="default"/>
          <w:lang w:val="en-US" w:eastAsia="zh-CN"/>
        </w:rPr>
        <w:drawing>
          <wp:inline distT="0" distB="0" distL="114300" distR="114300">
            <wp:extent cx="5543550" cy="2491740"/>
            <wp:effectExtent l="0" t="0" r="0" b="38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1"/>
                    <a:stretch>
                      <a:fillRect/>
                    </a:stretch>
                  </pic:blipFill>
                  <pic:spPr>
                    <a:xfrm>
                      <a:off x="0" y="0"/>
                      <a:ext cx="5543550" cy="2491740"/>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703"/>
        <w:textAlignment w:val="baseline"/>
        <w:rPr>
          <w:rFonts w:hint="eastAsia" w:hAnsi="宋体" w:cs="仿宋_GB2312"/>
          <w:i w:val="0"/>
          <w:iCs w:val="0"/>
          <w:caps w:val="0"/>
          <w:color w:val="000000"/>
          <w:spacing w:val="0"/>
          <w:sz w:val="32"/>
          <w:szCs w:val="32"/>
          <w:shd w:val="clear" w:fill="FFFFFF"/>
          <w:lang w:val="en-US" w:eastAsia="zh-CN"/>
        </w:rPr>
      </w:pPr>
      <w:r>
        <w:rPr>
          <w:rFonts w:hint="eastAsia" w:hAnsi="宋体" w:cs="仿宋_GB2312"/>
          <w:i w:val="0"/>
          <w:iCs w:val="0"/>
          <w:caps w:val="0"/>
          <w:color w:val="000000"/>
          <w:spacing w:val="0"/>
          <w:sz w:val="32"/>
          <w:szCs w:val="32"/>
          <w:shd w:val="clear" w:fill="FFFFFF"/>
          <w:lang w:val="en-US" w:eastAsia="zh-CN"/>
        </w:rPr>
        <w:t>2、加大政务公开探索和创新力度，倾力打造用心规范、全心服务、暖心便民的“郯心公开”服务品牌。以群众需求为导向，探索政务公开专区建设运行新模式，建成集信息查询、资料查阅、信息申请、休息阅览等功能于一体的县级政务公开专区三处，做到方便实用、功能全面、优质高效。常态化更新各类惠民惠企政策、政务公开“一张清单”、政府公报等政策资料，第一时间精准投放至政策资料查阅区，方便群众复印、拍照、查阅；依托专区LED显示屏及一体查询机，播出政务公开宣传片、政策文件动漫解读等资料，让群众面对面、零距离了解政务公开，营造浓厚的宣传氛围，以高质量的政务公开专区建设，助力基层政务管理服务。</w:t>
      </w:r>
    </w:p>
    <w:p>
      <w:pPr>
        <w:rPr>
          <w:rFonts w:hint="eastAsia"/>
          <w:lang w:val="en-US" w:eastAsia="zh-CN"/>
        </w:rPr>
      </w:pPr>
      <w:r>
        <w:drawing>
          <wp:inline distT="0" distB="0" distL="114300" distR="114300">
            <wp:extent cx="5440680" cy="2736850"/>
            <wp:effectExtent l="0" t="0" r="762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440680" cy="2736850"/>
                    </a:xfrm>
                    <a:prstGeom prst="rect">
                      <a:avLst/>
                    </a:prstGeom>
                    <a:noFill/>
                    <a:ln>
                      <a:noFill/>
                    </a:ln>
                  </pic:spPr>
                </pic:pic>
              </a:graphicData>
            </a:graphic>
          </wp:inline>
        </w:drawing>
      </w:r>
    </w:p>
    <w:p>
      <w:pPr>
        <w:rPr>
          <w:rFonts w:hint="eastAsia"/>
          <w:lang w:val="en-US" w:eastAsia="zh-CN"/>
        </w:rPr>
      </w:pPr>
      <w:r>
        <w:drawing>
          <wp:inline distT="0" distB="0" distL="114300" distR="114300">
            <wp:extent cx="5440045" cy="2571115"/>
            <wp:effectExtent l="0" t="0" r="8255" b="6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5440045" cy="2571115"/>
                    </a:xfrm>
                    <a:prstGeom prst="rect">
                      <a:avLst/>
                    </a:prstGeom>
                    <a:noFill/>
                    <a:ln>
                      <a:noFill/>
                    </a:ln>
                  </pic:spPr>
                </pic:pic>
              </a:graphicData>
            </a:graphic>
          </wp:inline>
        </w:drawing>
      </w:r>
    </w:p>
    <w:p>
      <w:pPr>
        <w:pStyle w:val="2"/>
        <w:keepNext w:val="0"/>
        <w:keepLines w:val="0"/>
        <w:pageBreakBefore w:val="0"/>
        <w:numPr>
          <w:ilvl w:val="0"/>
          <w:numId w:val="3"/>
        </w:numPr>
        <w:wordWrap/>
        <w:overflowPunct/>
        <w:topLinePunct w:val="0"/>
        <w:bidi w:val="0"/>
        <w:spacing w:line="560" w:lineRule="exact"/>
        <w:rPr>
          <w:rFonts w:hint="eastAsia" w:hAnsi="宋体" w:cs="仿宋_GB2312"/>
          <w:i w:val="0"/>
          <w:iCs w:val="0"/>
          <w:caps w:val="0"/>
          <w:color w:val="000000"/>
          <w:spacing w:val="0"/>
          <w:sz w:val="32"/>
          <w:szCs w:val="32"/>
          <w:shd w:val="clear" w:fill="FFFFFF"/>
          <w:rtl w:val="0"/>
          <w:lang w:val="en-US" w:eastAsia="zh-CN"/>
        </w:rPr>
      </w:pPr>
      <w:r>
        <w:rPr>
          <w:rFonts w:hint="eastAsia" w:hAnsi="宋体" w:cs="仿宋_GB2312"/>
          <w:i w:val="0"/>
          <w:iCs w:val="0"/>
          <w:caps w:val="0"/>
          <w:color w:val="000000"/>
          <w:spacing w:val="0"/>
          <w:sz w:val="32"/>
          <w:szCs w:val="32"/>
          <w:shd w:val="clear" w:fill="FFFFFF"/>
          <w:lang w:val="en-US" w:eastAsia="zh-CN"/>
        </w:rPr>
        <w:t>首次举办郯城县第一届“5·15”政务公开日活动，活动以“用心规范·全心服务·暖心便民·擦亮‘郯心公开’品牌”为主题，各级各部门广泛参与。</w:t>
      </w:r>
      <w:r>
        <w:rPr>
          <w:rFonts w:hint="eastAsia" w:hAnsi="宋体" w:cs="仿宋_GB2312"/>
          <w:b/>
          <w:bCs/>
          <w:i w:val="0"/>
          <w:iCs w:val="0"/>
          <w:caps w:val="0"/>
          <w:color w:val="000000"/>
          <w:spacing w:val="0"/>
          <w:sz w:val="32"/>
          <w:szCs w:val="32"/>
          <w:shd w:val="clear" w:fill="FFFFFF"/>
          <w:lang w:val="en-US" w:eastAsia="zh-CN"/>
        </w:rPr>
        <w:t>召开新闻发布会，</w:t>
      </w:r>
      <w:r>
        <w:rPr>
          <w:rFonts w:hint="eastAsia" w:hAnsi="宋体" w:cs="仿宋_GB2312"/>
          <w:i w:val="0"/>
          <w:iCs w:val="0"/>
          <w:caps w:val="0"/>
          <w:color w:val="000000"/>
          <w:spacing w:val="0"/>
          <w:sz w:val="32"/>
          <w:szCs w:val="32"/>
          <w:shd w:val="clear" w:fill="FFFFFF"/>
          <w:lang w:val="en-US" w:eastAsia="zh-CN"/>
        </w:rPr>
        <w:t>通报郯城县政务公开工作情况，回答媒体记者关心的问题；</w:t>
      </w:r>
      <w:r>
        <w:rPr>
          <w:rFonts w:hint="eastAsia" w:hAnsi="宋体" w:cs="仿宋_GB2312"/>
          <w:b/>
          <w:bCs/>
          <w:i w:val="0"/>
          <w:iCs w:val="0"/>
          <w:caps w:val="0"/>
          <w:color w:val="000000"/>
          <w:spacing w:val="0"/>
          <w:sz w:val="32"/>
          <w:szCs w:val="32"/>
          <w:shd w:val="clear" w:fill="FFFFFF"/>
          <w:lang w:val="en-US" w:eastAsia="zh-CN"/>
        </w:rPr>
        <w:t>体验县乡村三级政务公开专区，</w:t>
      </w:r>
      <w:r>
        <w:rPr>
          <w:rFonts w:hint="eastAsia" w:hAnsi="宋体" w:cs="仿宋_GB2312"/>
          <w:i w:val="0"/>
          <w:iCs w:val="0"/>
          <w:caps w:val="0"/>
          <w:color w:val="000000"/>
          <w:spacing w:val="0"/>
          <w:sz w:val="32"/>
          <w:szCs w:val="32"/>
          <w:shd w:val="clear" w:fill="FFFFFF"/>
          <w:lang w:val="en-US" w:eastAsia="zh-CN"/>
        </w:rPr>
        <w:t>为公众代表、媒体记者讲解政府信息查询、政策资料查阅、信息公开申请等专区功能；</w:t>
      </w:r>
      <w:r>
        <w:rPr>
          <w:rFonts w:hint="eastAsia" w:hAnsi="宋体" w:cs="仿宋_GB2312"/>
          <w:b/>
          <w:bCs/>
          <w:i w:val="0"/>
          <w:iCs w:val="0"/>
          <w:caps w:val="0"/>
          <w:color w:val="000000"/>
          <w:spacing w:val="0"/>
          <w:sz w:val="32"/>
          <w:szCs w:val="32"/>
          <w:shd w:val="clear" w:fill="FFFFFF"/>
          <w:lang w:val="en-US" w:eastAsia="zh-CN"/>
        </w:rPr>
        <w:t>营造“政务公开日”氛围，</w:t>
      </w:r>
      <w:r>
        <w:rPr>
          <w:rFonts w:hint="eastAsia" w:hAnsi="宋体" w:cs="仿宋_GB2312"/>
          <w:i w:val="0"/>
          <w:iCs w:val="0"/>
          <w:caps w:val="0"/>
          <w:color w:val="000000"/>
          <w:spacing w:val="0"/>
          <w:sz w:val="32"/>
          <w:szCs w:val="32"/>
          <w:shd w:val="clear" w:fill="FFFFFF"/>
          <w:lang w:val="en-US" w:eastAsia="zh-CN"/>
        </w:rPr>
        <w:t>60多家行政机关在全县范围内开展宣传活动，悬挂横幅标语，印发活动小册，活动参与群众6000余人，发放宣传资料8000余份；</w:t>
      </w:r>
      <w:r>
        <w:rPr>
          <w:rFonts w:hint="default" w:hAnsi="宋体" w:cs="仿宋_GB2312"/>
          <w:b/>
          <w:bCs/>
          <w:i w:val="0"/>
          <w:iCs w:val="0"/>
          <w:caps w:val="0"/>
          <w:color w:val="000000"/>
          <w:spacing w:val="0"/>
          <w:sz w:val="32"/>
          <w:szCs w:val="32"/>
          <w:shd w:val="clear" w:fill="FFFFFF"/>
          <w:rtl w:val="0"/>
          <w:lang w:val="en-US" w:eastAsia="zh-CN"/>
        </w:rPr>
        <w:t>开展</w:t>
      </w:r>
      <w:r>
        <w:rPr>
          <w:rFonts w:hint="eastAsia" w:hAnsi="宋体" w:cs="仿宋_GB2312"/>
          <w:b/>
          <w:bCs/>
          <w:i w:val="0"/>
          <w:iCs w:val="0"/>
          <w:caps w:val="0"/>
          <w:color w:val="000000"/>
          <w:spacing w:val="0"/>
          <w:sz w:val="32"/>
          <w:szCs w:val="32"/>
          <w:shd w:val="clear" w:fill="FFFFFF"/>
          <w:rtl w:val="0"/>
          <w:lang w:val="en-US" w:eastAsia="zh-CN"/>
        </w:rPr>
        <w:t>“</w:t>
      </w:r>
      <w:r>
        <w:rPr>
          <w:rFonts w:hint="default" w:hAnsi="宋体" w:cs="仿宋_GB2312"/>
          <w:b/>
          <w:bCs/>
          <w:i w:val="0"/>
          <w:iCs w:val="0"/>
          <w:caps w:val="0"/>
          <w:color w:val="000000"/>
          <w:spacing w:val="0"/>
          <w:sz w:val="32"/>
          <w:szCs w:val="32"/>
          <w:shd w:val="clear" w:fill="FFFFFF"/>
          <w:rtl w:val="0"/>
          <w:lang w:val="en-US" w:eastAsia="zh-CN"/>
        </w:rPr>
        <w:t>政务公开社会评</w:t>
      </w:r>
      <w:r>
        <w:rPr>
          <w:rFonts w:hint="eastAsia" w:hAnsi="宋体" w:cs="仿宋_GB2312"/>
          <w:b/>
          <w:bCs/>
          <w:i w:val="0"/>
          <w:iCs w:val="0"/>
          <w:caps w:val="0"/>
          <w:color w:val="000000"/>
          <w:spacing w:val="0"/>
          <w:sz w:val="32"/>
          <w:szCs w:val="32"/>
          <w:shd w:val="clear" w:fill="FFFFFF"/>
          <w:rtl w:val="0"/>
          <w:lang w:val="en-US" w:eastAsia="zh-CN"/>
        </w:rPr>
        <w:t>”</w:t>
      </w:r>
      <w:r>
        <w:rPr>
          <w:rFonts w:hint="default" w:hAnsi="宋体" w:cs="仿宋_GB2312"/>
          <w:b/>
          <w:bCs/>
          <w:i w:val="0"/>
          <w:iCs w:val="0"/>
          <w:caps w:val="0"/>
          <w:color w:val="000000"/>
          <w:spacing w:val="0"/>
          <w:sz w:val="32"/>
          <w:szCs w:val="32"/>
          <w:shd w:val="clear" w:fill="FFFFFF"/>
          <w:rtl w:val="0"/>
          <w:lang w:val="en-US" w:eastAsia="zh-CN"/>
        </w:rPr>
        <w:t>活动</w:t>
      </w:r>
      <w:r>
        <w:rPr>
          <w:rFonts w:hint="eastAsia" w:hAnsi="宋体" w:cs="仿宋_GB2312"/>
          <w:b/>
          <w:bCs/>
          <w:i w:val="0"/>
          <w:iCs w:val="0"/>
          <w:caps w:val="0"/>
          <w:color w:val="000000"/>
          <w:spacing w:val="0"/>
          <w:sz w:val="32"/>
          <w:szCs w:val="32"/>
          <w:shd w:val="clear" w:fill="FFFFFF"/>
          <w:rtl w:val="0"/>
          <w:lang w:val="en-US" w:eastAsia="zh-CN"/>
        </w:rPr>
        <w:t>，</w:t>
      </w:r>
      <w:r>
        <w:rPr>
          <w:rFonts w:hint="eastAsia" w:hAnsi="宋体" w:cs="仿宋_GB2312"/>
          <w:i w:val="0"/>
          <w:iCs w:val="0"/>
          <w:caps w:val="0"/>
          <w:color w:val="000000"/>
          <w:spacing w:val="0"/>
          <w:sz w:val="32"/>
          <w:szCs w:val="32"/>
          <w:shd w:val="clear" w:fill="FFFFFF"/>
          <w:rtl w:val="0"/>
          <w:lang w:val="en-US" w:eastAsia="zh-CN"/>
        </w:rPr>
        <w:t>线上依托</w:t>
      </w:r>
      <w:r>
        <w:rPr>
          <w:rFonts w:hint="default" w:hAnsi="宋体" w:cs="仿宋_GB2312"/>
          <w:i w:val="0"/>
          <w:iCs w:val="0"/>
          <w:caps w:val="0"/>
          <w:color w:val="000000"/>
          <w:spacing w:val="0"/>
          <w:sz w:val="32"/>
          <w:szCs w:val="32"/>
          <w:shd w:val="clear" w:fill="FFFFFF"/>
          <w:rtl w:val="0"/>
          <w:lang w:val="en-US" w:eastAsia="zh-CN"/>
        </w:rPr>
        <w:t>政府网站及政务新媒体</w:t>
      </w:r>
      <w:r>
        <w:rPr>
          <w:rFonts w:hint="eastAsia" w:hAnsi="宋体" w:cs="仿宋_GB2312"/>
          <w:i w:val="0"/>
          <w:iCs w:val="0"/>
          <w:caps w:val="0"/>
          <w:color w:val="000000"/>
          <w:spacing w:val="0"/>
          <w:sz w:val="32"/>
          <w:szCs w:val="32"/>
          <w:shd w:val="clear" w:fill="FFFFFF"/>
          <w:rtl w:val="0"/>
          <w:lang w:val="en-US" w:eastAsia="zh-CN"/>
        </w:rPr>
        <w:t>，线下依托各级</w:t>
      </w:r>
      <w:r>
        <w:rPr>
          <w:rFonts w:hint="default" w:hAnsi="宋体" w:cs="仿宋_GB2312"/>
          <w:i w:val="0"/>
          <w:iCs w:val="0"/>
          <w:caps w:val="0"/>
          <w:color w:val="000000"/>
          <w:spacing w:val="0"/>
          <w:sz w:val="32"/>
          <w:szCs w:val="32"/>
          <w:shd w:val="clear" w:fill="FFFFFF"/>
          <w:rtl w:val="0"/>
          <w:lang w:val="en-US" w:eastAsia="zh-CN"/>
        </w:rPr>
        <w:t>政务服务大厅</w:t>
      </w:r>
      <w:r>
        <w:rPr>
          <w:rFonts w:hint="eastAsia" w:hAnsi="宋体" w:cs="仿宋_GB2312"/>
          <w:i w:val="0"/>
          <w:iCs w:val="0"/>
          <w:caps w:val="0"/>
          <w:color w:val="000000"/>
          <w:spacing w:val="0"/>
          <w:sz w:val="32"/>
          <w:szCs w:val="32"/>
          <w:shd w:val="clear" w:fill="FFFFFF"/>
          <w:lang w:val="en-US" w:eastAsia="zh-CN"/>
        </w:rPr>
        <w:t>发放郯城县政务公开社会评活动调查问卷，</w:t>
      </w:r>
      <w:r>
        <w:rPr>
          <w:rFonts w:hint="default" w:hAnsi="宋体" w:cs="仿宋_GB2312"/>
          <w:i w:val="0"/>
          <w:iCs w:val="0"/>
          <w:caps w:val="0"/>
          <w:color w:val="000000"/>
          <w:spacing w:val="0"/>
          <w:sz w:val="32"/>
          <w:szCs w:val="32"/>
          <w:shd w:val="clear" w:fill="FFFFFF"/>
          <w:rtl w:val="0"/>
          <w:lang w:val="en-US" w:eastAsia="zh-CN"/>
        </w:rPr>
        <w:t>广泛收集社会各界的意见</w:t>
      </w:r>
      <w:r>
        <w:rPr>
          <w:rFonts w:hint="eastAsia" w:hAnsi="宋体" w:cs="仿宋_GB2312"/>
          <w:i w:val="0"/>
          <w:iCs w:val="0"/>
          <w:caps w:val="0"/>
          <w:color w:val="000000"/>
          <w:spacing w:val="0"/>
          <w:sz w:val="32"/>
          <w:szCs w:val="32"/>
          <w:shd w:val="clear" w:fill="FFFFFF"/>
          <w:rtl w:val="0"/>
          <w:lang w:val="en-US" w:eastAsia="zh-CN"/>
        </w:rPr>
        <w:t>，</w:t>
      </w:r>
      <w:r>
        <w:rPr>
          <w:rFonts w:hint="default" w:hAnsi="宋体" w:cs="仿宋_GB2312"/>
          <w:i w:val="0"/>
          <w:iCs w:val="0"/>
          <w:caps w:val="0"/>
          <w:color w:val="000000"/>
          <w:spacing w:val="0"/>
          <w:sz w:val="32"/>
          <w:szCs w:val="32"/>
          <w:shd w:val="clear" w:fill="FFFFFF"/>
          <w:rtl w:val="0"/>
          <w:lang w:val="en-US" w:eastAsia="zh-CN"/>
        </w:rPr>
        <w:t>助推政府治理体系和治理能力现代化</w:t>
      </w:r>
      <w:r>
        <w:rPr>
          <w:rFonts w:hint="eastAsia" w:hAnsi="宋体" w:cs="仿宋_GB2312"/>
          <w:i w:val="0"/>
          <w:iCs w:val="0"/>
          <w:caps w:val="0"/>
          <w:color w:val="000000"/>
          <w:spacing w:val="0"/>
          <w:sz w:val="32"/>
          <w:szCs w:val="32"/>
          <w:shd w:val="clear" w:fill="FFFFFF"/>
          <w:rtl w:val="0"/>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（五）政府信息公开工作年度报告数据统计需要说明的事项</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无针对年报统计需要说明的事项。</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（六）需要报告的其他事项</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无需要报告的其他事项。</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（七）其他有关文件专门要求通过政府信息公开工作年度报告予以报告的事项</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tl w:val="0"/>
          <w:lang w:val="en-US" w:eastAsia="zh-CN"/>
        </w:rPr>
      </w:pPr>
      <w:r>
        <w:rPr>
          <w:rFonts w:hint="eastAsia" w:ascii="仿宋_GB2312" w:hAnsi="仿宋_GB2312" w:eastAsia="仿宋_GB2312" w:cs="仿宋_GB2312"/>
          <w:sz w:val="32"/>
          <w:szCs w:val="32"/>
          <w:lang w:val="en-US" w:eastAsia="zh-CN"/>
        </w:rPr>
        <w:t>无其他文件专门要求报告的事项。</w:t>
      </w:r>
    </w:p>
    <w:sectPr>
      <w:pgSz w:w="11906" w:h="16838"/>
      <w:pgMar w:top="1814" w:right="1587" w:bottom="1701"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4414FA"/>
    <w:multiLevelType w:val="singleLevel"/>
    <w:tmpl w:val="BA4414FA"/>
    <w:lvl w:ilvl="0" w:tentative="0">
      <w:start w:val="2"/>
      <w:numFmt w:val="chineseCounting"/>
      <w:suff w:val="nothing"/>
      <w:lvlText w:val="%1、"/>
      <w:lvlJc w:val="left"/>
      <w:rPr>
        <w:rFonts w:hint="eastAsia"/>
      </w:rPr>
    </w:lvl>
  </w:abstractNum>
  <w:abstractNum w:abstractNumId="1">
    <w:nsid w:val="CC6D94B5"/>
    <w:multiLevelType w:val="singleLevel"/>
    <w:tmpl w:val="CC6D94B5"/>
    <w:lvl w:ilvl="0" w:tentative="0">
      <w:start w:val="1"/>
      <w:numFmt w:val="chineseCounting"/>
      <w:suff w:val="nothing"/>
      <w:lvlText w:val="（%1）"/>
      <w:lvlJc w:val="left"/>
      <w:pPr>
        <w:ind w:left="-75"/>
      </w:pPr>
      <w:rPr>
        <w:rFonts w:hint="eastAsia" w:ascii="楷体_GB2312" w:hAnsi="楷体_GB2312" w:eastAsia="楷体_GB2312" w:cs="楷体_GB2312"/>
      </w:rPr>
    </w:lvl>
  </w:abstractNum>
  <w:abstractNum w:abstractNumId="2">
    <w:nsid w:val="39526725"/>
    <w:multiLevelType w:val="singleLevel"/>
    <w:tmpl w:val="39526725"/>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544F5216"/>
    <w:rsid w:val="05C34480"/>
    <w:rsid w:val="08254561"/>
    <w:rsid w:val="082D0FA0"/>
    <w:rsid w:val="0AC70BF8"/>
    <w:rsid w:val="11D44D6F"/>
    <w:rsid w:val="14515DD5"/>
    <w:rsid w:val="2CBB4D37"/>
    <w:rsid w:val="4358100A"/>
    <w:rsid w:val="482A4397"/>
    <w:rsid w:val="544F5216"/>
    <w:rsid w:val="5C2C3CDE"/>
    <w:rsid w:val="5D4A7370"/>
    <w:rsid w:val="5F906D7E"/>
    <w:rsid w:val="76775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Times New Roman" w:eastAsia="仿宋_GB2312" w:cs="Times New Roman"/>
      <w:color w:val="000000"/>
      <w:sz w:val="36"/>
      <w:szCs w:val="36"/>
    </w:rPr>
  </w:style>
  <w:style w:type="paragraph" w:styleId="3">
    <w:name w:val="Normal Indent"/>
    <w:basedOn w:val="1"/>
    <w:qFormat/>
    <w:uiPriority w:val="0"/>
    <w:pPr>
      <w:overflowPunct w:val="0"/>
      <w:autoSpaceDE w:val="0"/>
      <w:autoSpaceDN w:val="0"/>
      <w:ind w:firstLine="420" w:firstLineChars="200"/>
    </w:pPr>
    <w:rPr>
      <w:rFonts w:ascii="Times New Roman" w:hAnsi="Times New Roman" w:eastAsia="宋体" w:cs="Times New Roman"/>
      <w:sz w:val="32"/>
      <w:szCs w:val="21"/>
    </w:rPr>
  </w:style>
  <w:style w:type="paragraph" w:styleId="4">
    <w:name w:val="Body Text"/>
    <w:basedOn w:val="1"/>
    <w:qFormat/>
    <w:uiPriority w:val="0"/>
    <w:pPr>
      <w:spacing w:after="120"/>
    </w:p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atin typeface="黑体" panose="02010609060101010101" charset="-122"/>
                <a:ea typeface="黑体" panose="02010609060101010101" charset="-122"/>
                <a:cs typeface="黑体" panose="02010609060101010101" charset="-122"/>
              </a:rPr>
              <a:t>2022年政府信息公开申请内容分布图</a:t>
            </a:r>
            <a:endParaRPr>
              <a:latin typeface="黑体" panose="02010609060101010101" charset="-122"/>
              <a:ea typeface="黑体" panose="02010609060101010101" charset="-122"/>
              <a:cs typeface="黑体" panose="02010609060101010101" charset="-122"/>
            </a:endParaRPr>
          </a:p>
        </c:rich>
      </c:tx>
      <c:layout/>
      <c:overlay val="0"/>
      <c:spPr>
        <a:noFill/>
        <a:ln>
          <a:noFill/>
        </a:ln>
        <a:effectLst/>
      </c:spPr>
    </c:title>
    <c:autoTitleDeleted val="0"/>
    <c:plotArea>
      <c:layout/>
      <c:doughnutChart>
        <c:varyColors val="1"/>
        <c:ser>
          <c:idx val="0"/>
          <c:order val="0"/>
          <c:tx>
            <c:strRef>
              <c:f>Sheet1!$B$2</c:f>
              <c:strCache>
                <c:ptCount val="1"/>
                <c:pt idx="0">
                  <c:v>2022年政府信息公开申请内容分布图</c:v>
                </c:pt>
              </c:strCache>
            </c:strRef>
          </c:tx>
          <c:spPr>
            <a:ln w="19050">
              <a:solidFill>
                <a:schemeClr val="bg1">
                  <a:alpha val="88000"/>
                </a:schemeClr>
              </a:solidFill>
            </a:ln>
            <a:effectLst>
              <a:outerShdw blurRad="63500" sx="102000" sy="102000" algn="ctr" rotWithShape="0">
                <a:prstClr val="black">
                  <a:alpha val="40000"/>
                </a:prstClr>
              </a:outerShdw>
            </a:effectLst>
          </c:spPr>
          <c:explosion val="0"/>
          <c:dPt>
            <c:idx val="0"/>
            <c:bubble3D val="0"/>
            <c:explosion val="14"/>
            <c:spPr>
              <a:solidFill>
                <a:srgbClr val="50A2F6"/>
              </a:solidFill>
              <a:ln w="19050">
                <a:solidFill>
                  <a:schemeClr val="bg1">
                    <a:alpha val="88000"/>
                  </a:schemeClr>
                </a:solidFill>
              </a:ln>
              <a:effectLst>
                <a:outerShdw blurRad="63500" sx="102000" sy="102000" algn="ctr" rotWithShape="0">
                  <a:prstClr val="black">
                    <a:alpha val="40000"/>
                  </a:prstClr>
                </a:outerShdw>
              </a:effectLst>
            </c:spPr>
          </c:dPt>
          <c:dPt>
            <c:idx val="1"/>
            <c:bubble3D val="0"/>
            <c:explosion val="0"/>
            <c:spPr>
              <a:solidFill>
                <a:srgbClr val="FFCC25"/>
              </a:solidFill>
              <a:ln w="19050">
                <a:solidFill>
                  <a:schemeClr val="bg1">
                    <a:alpha val="88000"/>
                  </a:schemeClr>
                </a:solidFill>
              </a:ln>
              <a:effectLst>
                <a:outerShdw blurRad="63500" sx="102000" sy="102000" algn="ctr" rotWithShape="0">
                  <a:prstClr val="black">
                    <a:alpha val="40000"/>
                  </a:prstClr>
                </a:outerShdw>
              </a:effectLst>
            </c:spPr>
          </c:dPt>
          <c:dPt>
            <c:idx val="2"/>
            <c:bubble3D val="0"/>
            <c:explosion val="0"/>
            <c:spPr>
              <a:solidFill>
                <a:srgbClr val="83D686"/>
              </a:solidFill>
              <a:ln w="19050">
                <a:solidFill>
                  <a:schemeClr val="bg1">
                    <a:alpha val="88000"/>
                  </a:schemeClr>
                </a:solidFill>
              </a:ln>
              <a:effectLst>
                <a:outerShdw blurRad="63500" sx="102000" sy="102000" algn="ctr" rotWithShape="0">
                  <a:prstClr val="black">
                    <a:alpha val="40000"/>
                  </a:prstClr>
                </a:outerShdw>
              </a:effectLst>
            </c:spPr>
          </c:dPt>
          <c:dPt>
            <c:idx val="3"/>
            <c:bubble3D val="0"/>
            <c:explosion val="0"/>
            <c:spPr>
              <a:solidFill>
                <a:srgbClr val="FE7B89"/>
              </a:solidFill>
              <a:ln w="19050">
                <a:solidFill>
                  <a:schemeClr val="bg1">
                    <a:alpha val="88000"/>
                  </a:schemeClr>
                </a:solidFill>
              </a:ln>
              <a:effectLst>
                <a:outerShdw blurRad="63500" sx="102000" sy="102000" algn="ctr" rotWithShape="0">
                  <a:prstClr val="black">
                    <a:alpha val="40000"/>
                  </a:prstClr>
                </a:outerShdw>
              </a:effectLst>
            </c:spPr>
          </c:dPt>
          <c:dPt>
            <c:idx val="4"/>
            <c:bubble3D val="0"/>
            <c:spPr>
              <a:solidFill>
                <a:srgbClr val="F9AF79">
                  <a:alpha val="98000"/>
                </a:srgbClr>
              </a:solidFill>
              <a:ln w="19050">
                <a:solidFill>
                  <a:schemeClr val="bg1">
                    <a:alpha val="88000"/>
                  </a:schemeClr>
                </a:solidFill>
              </a:ln>
              <a:effectLst>
                <a:outerShdw blurRad="63500" sx="102000" sy="102000" algn="ctr" rotWithShape="0">
                  <a:prstClr val="black">
                    <a:alpha val="40000"/>
                  </a:prst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征地拆迁</c:v>
                </c:pt>
                <c:pt idx="1">
                  <c:v>行政执法信息</c:v>
                </c:pt>
                <c:pt idx="2">
                  <c:v>项目申报材料</c:v>
                </c:pt>
                <c:pt idx="3">
                  <c:v>统计数据信息</c:v>
                </c:pt>
                <c:pt idx="4">
                  <c:v>其他</c:v>
                </c:pt>
              </c:strCache>
            </c:strRef>
          </c:cat>
          <c:val>
            <c:numRef>
              <c:f>Sheet1!$B$3:$B$7</c:f>
              <c:numCache>
                <c:formatCode>0%</c:formatCode>
                <c:ptCount val="5"/>
                <c:pt idx="0">
                  <c:v>0.68</c:v>
                </c:pt>
                <c:pt idx="1">
                  <c:v>0.03</c:v>
                </c:pt>
                <c:pt idx="2">
                  <c:v>0.09</c:v>
                </c:pt>
                <c:pt idx="3">
                  <c:v>0.06</c:v>
                </c:pt>
                <c:pt idx="4">
                  <c:v>0.14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Entry>
      <c:legendEntry>
        <c:idx val="1"/>
        <c:txPr>
          <a:bodyPr rot="0" spcFirstLastPara="0" vertOverflow="ellipsis" vert="horz" wrap="square" anchor="ctr" anchorCtr="1"/>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Entry>
      <c:legendEntry>
        <c:idx val="2"/>
        <c:txPr>
          <a:bodyPr rot="0" spcFirstLastPara="0" vertOverflow="ellipsis" vert="horz" wrap="square" anchor="ctr" anchorCtr="1"/>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Entry>
      <c:legendEntry>
        <c:idx val="3"/>
        <c:txPr>
          <a:bodyPr rot="0" spcFirstLastPara="0" vertOverflow="ellipsis" vert="horz" wrap="square" anchor="ctr" anchorCtr="1"/>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Entry>
      <c:legendEntry>
        <c:idx val="4"/>
        <c:txPr>
          <a:bodyPr rot="0" spcFirstLastPara="0" vertOverflow="ellipsis" vert="horz" wrap="square" anchor="ctr" anchorCtr="1"/>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Entry>
      <c:layout/>
      <c:overlay val="0"/>
      <c:spPr>
        <a:noFill/>
        <a:ln>
          <a:noFill/>
        </a:ln>
        <a:effectLst/>
      </c:spPr>
      <c:txPr>
        <a:bodyPr rot="0" spcFirstLastPara="0" vertOverflow="ellipsis" vert="horz" wrap="square" anchor="ctr" anchorCtr="1" forceAA="0"/>
        <a:lstStyle/>
        <a:p>
          <a:pPr>
            <a:defRPr lang="zh-CN" sz="1000" b="0" i="0" u="none" strike="noStrike" kern="1200" baseline="0">
              <a:solidFill>
                <a:sysClr val="windowText" lastClr="000000"/>
              </a:solidFill>
              <a:latin typeface="仿宋_GB2312" panose="02010609030101010101" charset="-122"/>
              <a:ea typeface="仿宋_GB2312" panose="02010609030101010101" charset="-122"/>
              <a:cs typeface="仿宋_GB2312" panose="02010609030101010101" charset="-122"/>
              <a:sym typeface="仿宋_GB2312" panose="02010609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docProps/app.xml><?xml version="1.0" encoding="utf-8"?>
<Properties xmlns="http://schemas.openxmlformats.org/officeDocument/2006/extended-properties" xmlns:vt="http://schemas.openxmlformats.org/officeDocument/2006/docPropsVTypes">
  <Template>Normal.dotm</Template>
  <Pages>14</Pages>
  <Words>4793</Words>
  <Characters>4998</Characters>
  <Lines>0</Lines>
  <Paragraphs>0</Paragraphs>
  <TotalTime>9</TotalTime>
  <ScaleCrop>false</ScaleCrop>
  <LinksUpToDate>false</LinksUpToDate>
  <CharactersWithSpaces>4999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2023-02-02T11:49:00Z</dcterms:created>
  <dc:creator>吃不起土的王紫莹</dc:creator>
  <cp:lastModifiedBy>王紫莹</cp:lastModifiedBy>
  <dcterms:modified xsi:type="dcterms:W3CDTF">2023-03-21T09:47:28Z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4A5B231DF99E4F96821E31957FCB6D3B</vt:lpwstr>
  </property>
</Properties>
</file>